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8326E" w14:textId="06C506CA" w:rsidR="008B6BE2" w:rsidRDefault="00B558C4" w:rsidP="00467BEC">
      <w:pPr>
        <w:pStyle w:val="Heading1"/>
        <w:numPr>
          <w:ilvl w:val="0"/>
          <w:numId w:val="0"/>
        </w:numPr>
        <w:ind w:left="992" w:hanging="992"/>
      </w:pPr>
      <w:bookmarkStart w:id="0" w:name="_GoBack"/>
      <w:bookmarkEnd w:id="0"/>
      <w:r>
        <w:t>Hattah Land Use Plan</w:t>
      </w:r>
      <w:r w:rsidR="008B6BE2" w:rsidRPr="000C49D6">
        <w:t xml:space="preserve"> – </w:t>
      </w:r>
      <w:r w:rsidR="00D51FFE">
        <w:t>Frequently Asked Questions</w:t>
      </w:r>
    </w:p>
    <w:p w14:paraId="6286D1A8" w14:textId="4E6D4444" w:rsidR="00341A43" w:rsidRDefault="00B558C4" w:rsidP="006E17AB">
      <w:pPr>
        <w:pStyle w:val="Heading2"/>
        <w:keepLines w:val="0"/>
        <w:numPr>
          <w:ilvl w:val="0"/>
          <w:numId w:val="0"/>
        </w:numPr>
        <w:spacing w:before="240" w:after="120" w:line="280" w:lineRule="atLeast"/>
        <w:ind w:left="851" w:hanging="851"/>
      </w:pPr>
      <w:r>
        <w:t>What is the project?</w:t>
      </w:r>
    </w:p>
    <w:p w14:paraId="2AF938CB" w14:textId="348AFC32" w:rsidR="00B558C4" w:rsidRPr="00B558C4" w:rsidRDefault="00B558C4" w:rsidP="00B558C4">
      <w:pPr>
        <w:pStyle w:val="Body"/>
      </w:pPr>
      <w:r w:rsidRPr="00B558C4">
        <w:t xml:space="preserve">The project will investigate and provide recommendations and strategic justification for the introduction of appropriate </w:t>
      </w:r>
      <w:r w:rsidR="003B7AC9">
        <w:t xml:space="preserve">planning </w:t>
      </w:r>
      <w:r w:rsidRPr="00B558C4">
        <w:t xml:space="preserve">zones to address existing zoning anomalies in the Hattah </w:t>
      </w:r>
      <w:r w:rsidR="00E03501">
        <w:t>T</w:t>
      </w:r>
      <w:r w:rsidRPr="00B558C4">
        <w:t>ownship and 174 Cootamundra Avenue</w:t>
      </w:r>
      <w:r w:rsidR="003B7AC9">
        <w:t xml:space="preserve">, Red </w:t>
      </w:r>
      <w:r w:rsidR="00514920">
        <w:t>Cliffs</w:t>
      </w:r>
      <w:r w:rsidRPr="00B558C4">
        <w:t>.</w:t>
      </w:r>
    </w:p>
    <w:p w14:paraId="36049319" w14:textId="77777777" w:rsidR="00B558C4" w:rsidRPr="00B558C4" w:rsidRDefault="00B558C4" w:rsidP="00B558C4">
      <w:pPr>
        <w:pStyle w:val="Body"/>
      </w:pPr>
      <w:r w:rsidRPr="00B558C4">
        <w:t xml:space="preserve">Both areas are zoning anomalies where private land is incorrectly contained within the Public Conservation and Resource Zone (PCRZ), a zone which is otherwise consistent with the surrounding conservation land. </w:t>
      </w:r>
    </w:p>
    <w:p w14:paraId="688BE744" w14:textId="77777777" w:rsidR="00B558C4" w:rsidRPr="00B558C4" w:rsidRDefault="00B558C4" w:rsidP="00B558C4">
      <w:pPr>
        <w:pStyle w:val="Body"/>
      </w:pPr>
      <w:r w:rsidRPr="00B558C4">
        <w:t xml:space="preserve">The project’s key objectives are to: </w:t>
      </w:r>
    </w:p>
    <w:p w14:paraId="5A341CF4" w14:textId="77777777" w:rsidR="00B7651F" w:rsidRPr="00B558C4" w:rsidRDefault="00824526" w:rsidP="00B558C4">
      <w:pPr>
        <w:pStyle w:val="Bullet"/>
      </w:pPr>
      <w:r w:rsidRPr="00B558C4">
        <w:t>Undertake the necessary background research to ensure all relevant issues are identified;</w:t>
      </w:r>
    </w:p>
    <w:p w14:paraId="1C47A325" w14:textId="77777777" w:rsidR="00B7651F" w:rsidRPr="00B558C4" w:rsidRDefault="00824526" w:rsidP="00B558C4">
      <w:pPr>
        <w:pStyle w:val="Bullet"/>
      </w:pPr>
      <w:r w:rsidRPr="00B558C4">
        <w:t>Identify the strategic and visual importance of the precinct;</w:t>
      </w:r>
    </w:p>
    <w:p w14:paraId="034A8881" w14:textId="77777777" w:rsidR="00B7651F" w:rsidRPr="00B558C4" w:rsidRDefault="00824526" w:rsidP="00B558C4">
      <w:pPr>
        <w:pStyle w:val="Bullet"/>
      </w:pPr>
      <w:r w:rsidRPr="00B558C4">
        <w:t xml:space="preserve">Confirm the strategic basis for the land uses within the precinct; </w:t>
      </w:r>
    </w:p>
    <w:p w14:paraId="5D6369F8" w14:textId="77777777" w:rsidR="00B7651F" w:rsidRPr="00B558C4" w:rsidRDefault="00824526" w:rsidP="00B558C4">
      <w:pPr>
        <w:pStyle w:val="Bullet"/>
      </w:pPr>
      <w:r w:rsidRPr="00B558C4">
        <w:t xml:space="preserve">Identify the long term preferred land use vision and development future for the land; </w:t>
      </w:r>
    </w:p>
    <w:p w14:paraId="49E53646" w14:textId="7A200FE6" w:rsidR="00B7651F" w:rsidRPr="00B558C4" w:rsidRDefault="00824526" w:rsidP="00B558C4">
      <w:pPr>
        <w:pStyle w:val="Bullet"/>
      </w:pPr>
      <w:r w:rsidRPr="00B558C4">
        <w:t xml:space="preserve">Identify realistic development options for the </w:t>
      </w:r>
      <w:r w:rsidR="0068227D">
        <w:t xml:space="preserve">land and an appropriate zoning </w:t>
      </w:r>
      <w:r w:rsidRPr="00B558C4">
        <w:t xml:space="preserve">regime to realise its attainment; </w:t>
      </w:r>
    </w:p>
    <w:p w14:paraId="795FEA7A" w14:textId="77777777" w:rsidR="00B7651F" w:rsidRPr="00B558C4" w:rsidRDefault="00824526" w:rsidP="00B558C4">
      <w:pPr>
        <w:pStyle w:val="Bullet"/>
      </w:pPr>
      <w:r w:rsidRPr="00B558C4">
        <w:t xml:space="preserve">Establish sound planning and design and development principles and planning responses to guide future development and ensure that future use and development of the land occurs in a manner that reflects the preferred land use vision; </w:t>
      </w:r>
    </w:p>
    <w:p w14:paraId="6FB33C5C" w14:textId="44BAA2CA" w:rsidR="00B7651F" w:rsidRDefault="00824526" w:rsidP="00B558C4">
      <w:pPr>
        <w:pStyle w:val="Bullet"/>
      </w:pPr>
      <w:r w:rsidRPr="00B558C4">
        <w:t xml:space="preserve">Identify and detail any consequential changes which need to be made to the Mildura Planning Scheme; </w:t>
      </w:r>
    </w:p>
    <w:p w14:paraId="4703FF37" w14:textId="35D9E9B7" w:rsidR="00186F8B" w:rsidRPr="00B558C4" w:rsidRDefault="00186F8B" w:rsidP="00B558C4">
      <w:pPr>
        <w:pStyle w:val="Bullet"/>
      </w:pPr>
      <w:r>
        <w:t xml:space="preserve">Recommend appropriate planning pathway for each study </w:t>
      </w:r>
      <w:r w:rsidR="00242BF2">
        <w:t>area</w:t>
      </w:r>
      <w:r>
        <w:t>;</w:t>
      </w:r>
    </w:p>
    <w:p w14:paraId="4A1F80F2" w14:textId="10212EA9" w:rsidR="00B7651F" w:rsidRPr="00B558C4" w:rsidRDefault="00824526" w:rsidP="00B558C4">
      <w:pPr>
        <w:pStyle w:val="Bullet"/>
      </w:pPr>
      <w:r w:rsidRPr="00B558C4">
        <w:t xml:space="preserve">Consolidate recommendations in appropriate </w:t>
      </w:r>
      <w:r w:rsidR="00186F8B">
        <w:t>land use</w:t>
      </w:r>
      <w:r w:rsidRPr="00B558C4">
        <w:t xml:space="preserve"> plan or like document, for each of the study areas. </w:t>
      </w:r>
    </w:p>
    <w:p w14:paraId="7CAA4103" w14:textId="45C59704" w:rsidR="006E17AB" w:rsidRPr="006E17AB" w:rsidRDefault="006E17AB" w:rsidP="006E17AB">
      <w:pPr>
        <w:pStyle w:val="Heading2"/>
        <w:keepLines w:val="0"/>
        <w:numPr>
          <w:ilvl w:val="0"/>
          <w:numId w:val="0"/>
        </w:numPr>
        <w:spacing w:before="240" w:after="120" w:line="280" w:lineRule="atLeast"/>
        <w:ind w:left="851" w:hanging="851"/>
      </w:pPr>
      <w:r w:rsidRPr="006E17AB">
        <w:t xml:space="preserve">What is </w:t>
      </w:r>
      <w:r w:rsidR="00B558C4">
        <w:t>the study area</w:t>
      </w:r>
      <w:r w:rsidRPr="006E17AB">
        <w:t>?</w:t>
      </w:r>
    </w:p>
    <w:p w14:paraId="333949AD" w14:textId="40CB2B23" w:rsidR="00B558C4" w:rsidRDefault="00B558C4" w:rsidP="00B558C4">
      <w:pPr>
        <w:pStyle w:val="Body"/>
      </w:pPr>
      <w:r w:rsidRPr="00B558C4">
        <w:t xml:space="preserve">The study area comprises land within the boundary of the Hattah </w:t>
      </w:r>
      <w:r w:rsidR="00E03501">
        <w:t>T</w:t>
      </w:r>
      <w:r w:rsidRPr="00B558C4">
        <w:t>ownship and 174 Cootamundra Avenue, and appropriate interfac</w:t>
      </w:r>
      <w:r w:rsidR="003B7AC9">
        <w:t>ing</w:t>
      </w:r>
      <w:r w:rsidRPr="00B558C4">
        <w:t xml:space="preserve"> land. </w:t>
      </w:r>
    </w:p>
    <w:p w14:paraId="4D42A8F1" w14:textId="5422337E" w:rsidR="00514920" w:rsidRDefault="00514920" w:rsidP="00D47DC3">
      <w:pPr>
        <w:pStyle w:val="Caption"/>
        <w:jc w:val="center"/>
      </w:pPr>
      <w:r>
        <w:lastRenderedPageBreak/>
        <w:t xml:space="preserve">Figure </w:t>
      </w:r>
      <w:fldSimple w:instr=" SEQ Figure \* ARABIC ">
        <w:r>
          <w:rPr>
            <w:noProof/>
          </w:rPr>
          <w:t>1</w:t>
        </w:r>
      </w:fldSimple>
      <w:r>
        <w:t xml:space="preserve"> – Project Area Map – Hattah Township</w:t>
      </w:r>
      <w:r>
        <w:rPr>
          <w:rStyle w:val="FootnoteReference"/>
        </w:rPr>
        <w:footnoteReference w:id="1"/>
      </w:r>
    </w:p>
    <w:p w14:paraId="6C177CAC" w14:textId="0FCCA6DD" w:rsidR="00514920" w:rsidRDefault="00514920" w:rsidP="00D47DC3">
      <w:pPr>
        <w:pStyle w:val="Body"/>
        <w:jc w:val="center"/>
      </w:pPr>
      <w:r>
        <w:rPr>
          <w:noProof/>
          <w:lang w:eastAsia="en-AU"/>
        </w:rPr>
        <w:drawing>
          <wp:inline distT="0" distB="0" distL="0" distR="0" wp14:anchorId="1883AB12" wp14:editId="37616785">
            <wp:extent cx="5331542" cy="5230374"/>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0624" cy="5249094"/>
                    </a:xfrm>
                    <a:prstGeom prst="rect">
                      <a:avLst/>
                    </a:prstGeom>
                  </pic:spPr>
                </pic:pic>
              </a:graphicData>
            </a:graphic>
          </wp:inline>
        </w:drawing>
      </w:r>
    </w:p>
    <w:p w14:paraId="392A151F" w14:textId="77777777" w:rsidR="00514920" w:rsidRDefault="00514920" w:rsidP="00514920">
      <w:pPr>
        <w:pStyle w:val="Body"/>
      </w:pPr>
    </w:p>
    <w:p w14:paraId="6EF0E808" w14:textId="7B56F7D8" w:rsidR="00514920" w:rsidRDefault="00514920" w:rsidP="00514920">
      <w:pPr>
        <w:pStyle w:val="Caption"/>
      </w:pPr>
      <w:r>
        <w:t xml:space="preserve">Figure </w:t>
      </w:r>
      <w:fldSimple w:instr=" SEQ Figure \* ARABIC ">
        <w:r>
          <w:rPr>
            <w:noProof/>
          </w:rPr>
          <w:t>2</w:t>
        </w:r>
      </w:fldSimple>
      <w:r>
        <w:t xml:space="preserve"> – Project Area Map – 174 Cootamundra Avenue</w:t>
      </w:r>
      <w:r>
        <w:rPr>
          <w:rStyle w:val="FootnoteReference"/>
        </w:rPr>
        <w:footnoteReference w:id="2"/>
      </w:r>
    </w:p>
    <w:p w14:paraId="135D14D2" w14:textId="08306F5F" w:rsidR="00514920" w:rsidRDefault="00514920" w:rsidP="00514920">
      <w:pPr>
        <w:pStyle w:val="Body"/>
      </w:pPr>
      <w:r>
        <w:rPr>
          <w:noProof/>
          <w:lang w:eastAsia="en-AU"/>
        </w:rPr>
        <w:drawing>
          <wp:inline distT="0" distB="0" distL="0" distR="0" wp14:anchorId="4088DB85" wp14:editId="41BB13AC">
            <wp:extent cx="5694649" cy="2685448"/>
            <wp:effectExtent l="0" t="0" r="1905" b="635"/>
            <wp:docPr id="2" name="Picture 2" descr="Red Cli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Cliffs"/>
                    <pic:cNvPicPr>
                      <a:picLocks noChangeAspect="1" noChangeArrowheads="1"/>
                    </pic:cNvPicPr>
                  </pic:nvPicPr>
                  <pic:blipFill>
                    <a:blip r:embed="rId13" cstate="print">
                      <a:extLst>
                        <a:ext uri="{28A0092B-C50C-407E-A947-70E740481C1C}">
                          <a14:useLocalDpi xmlns:a14="http://schemas.microsoft.com/office/drawing/2010/main" val="0"/>
                        </a:ext>
                      </a:extLst>
                    </a:blip>
                    <a:srcRect l="7315"/>
                    <a:stretch>
                      <a:fillRect/>
                    </a:stretch>
                  </pic:blipFill>
                  <pic:spPr bwMode="auto">
                    <a:xfrm>
                      <a:off x="0" y="0"/>
                      <a:ext cx="5706125" cy="2690860"/>
                    </a:xfrm>
                    <a:prstGeom prst="rect">
                      <a:avLst/>
                    </a:prstGeom>
                    <a:noFill/>
                    <a:ln>
                      <a:noFill/>
                    </a:ln>
                  </pic:spPr>
                </pic:pic>
              </a:graphicData>
            </a:graphic>
          </wp:inline>
        </w:drawing>
      </w:r>
    </w:p>
    <w:p w14:paraId="452D4A8E" w14:textId="77777777" w:rsidR="00514920" w:rsidRPr="00514920" w:rsidRDefault="00514920" w:rsidP="00514920">
      <w:pPr>
        <w:pStyle w:val="Body"/>
      </w:pPr>
    </w:p>
    <w:p w14:paraId="56A6CBBB" w14:textId="48229790" w:rsidR="006E17AB" w:rsidRDefault="00B558C4" w:rsidP="006E17AB">
      <w:pPr>
        <w:pStyle w:val="Heading2"/>
        <w:keepLines w:val="0"/>
        <w:numPr>
          <w:ilvl w:val="0"/>
          <w:numId w:val="0"/>
        </w:numPr>
        <w:spacing w:before="240" w:after="120" w:line="280" w:lineRule="atLeast"/>
        <w:ind w:left="851" w:hanging="851"/>
      </w:pPr>
      <w:r>
        <w:t>What are the zones</w:t>
      </w:r>
      <w:r w:rsidR="006E17AB">
        <w:t>?</w:t>
      </w:r>
    </w:p>
    <w:p w14:paraId="5B9E51EB" w14:textId="77777777" w:rsidR="00B558C4" w:rsidRPr="00B558C4" w:rsidRDefault="00B558C4" w:rsidP="00B558C4">
      <w:pPr>
        <w:pStyle w:val="Body"/>
      </w:pPr>
      <w:r w:rsidRPr="00B558C4">
        <w:t xml:space="preserve">Council rezoned areas of Hattah township from the Rural Zone to PCRZ in 1999. This rezoning has not changed since. </w:t>
      </w:r>
    </w:p>
    <w:p w14:paraId="63B99E81" w14:textId="77777777" w:rsidR="00B558C4" w:rsidRPr="00B558C4" w:rsidRDefault="00B558C4" w:rsidP="00B558C4">
      <w:pPr>
        <w:pStyle w:val="Body"/>
      </w:pPr>
      <w:r w:rsidRPr="00B558C4">
        <w:t xml:space="preserve">The Hattah land is contained within two zones in the current Mildura Planning Scheme: </w:t>
      </w:r>
    </w:p>
    <w:p w14:paraId="6302978C" w14:textId="77777777" w:rsidR="00B7651F" w:rsidRPr="00B558C4" w:rsidRDefault="00824526" w:rsidP="00B558C4">
      <w:pPr>
        <w:pStyle w:val="Bullet"/>
      </w:pPr>
      <w:r w:rsidRPr="00B558C4">
        <w:t>Road Zone 1 for land comprising both the Calder Highway and Hattah-Robinvale Road corridors.</w:t>
      </w:r>
    </w:p>
    <w:p w14:paraId="757CCA25" w14:textId="77777777" w:rsidR="00B7651F" w:rsidRPr="00B558C4" w:rsidRDefault="00824526" w:rsidP="00B558C4">
      <w:pPr>
        <w:pStyle w:val="Bullet"/>
      </w:pPr>
      <w:r w:rsidRPr="00B558C4">
        <w:t>PCRZ for all other land.</w:t>
      </w:r>
    </w:p>
    <w:p w14:paraId="09881662" w14:textId="3DC7E340" w:rsidR="006E17AB" w:rsidRDefault="00B558C4" w:rsidP="00B558C4">
      <w:pPr>
        <w:pStyle w:val="Body"/>
      </w:pPr>
      <w:r w:rsidRPr="00B558C4">
        <w:t>The parcel at 174 Cootamundra Avenue Red Cliffs is contained with</w:t>
      </w:r>
      <w:r w:rsidR="00C07A66">
        <w:t>in</w:t>
      </w:r>
      <w:r w:rsidRPr="00B558C4">
        <w:t xml:space="preserve"> the PCRZ</w:t>
      </w:r>
      <w:r w:rsidR="003B7AC9">
        <w:t>,</w:t>
      </w:r>
      <w:r w:rsidRPr="00B558C4">
        <w:t xml:space="preserve"> </w:t>
      </w:r>
      <w:r w:rsidR="003B7AC9" w:rsidRPr="00B558C4">
        <w:t>including a portion of road adjoining the southern lot boundary.</w:t>
      </w:r>
      <w:r w:rsidR="003B7AC9">
        <w:t xml:space="preserve"> T</w:t>
      </w:r>
      <w:r w:rsidRPr="00B558C4">
        <w:t>he DELWP-owned land surrounding the site</w:t>
      </w:r>
      <w:r w:rsidR="00C07A66">
        <w:t xml:space="preserve"> to the north,</w:t>
      </w:r>
      <w:r w:rsidR="003B7AC9">
        <w:t xml:space="preserve"> is also zoned PCRZ. </w:t>
      </w:r>
    </w:p>
    <w:p w14:paraId="147A7862" w14:textId="6A690927" w:rsidR="006E17AB" w:rsidRPr="006E17AB" w:rsidRDefault="00B558C4" w:rsidP="006E17AB">
      <w:pPr>
        <w:pStyle w:val="Heading2"/>
        <w:keepLines w:val="0"/>
        <w:numPr>
          <w:ilvl w:val="0"/>
          <w:numId w:val="0"/>
        </w:numPr>
        <w:spacing w:before="240" w:after="120" w:line="280" w:lineRule="atLeast"/>
        <w:ind w:left="851" w:hanging="851"/>
      </w:pPr>
      <w:r>
        <w:t>What is the PCRZ?</w:t>
      </w:r>
    </w:p>
    <w:p w14:paraId="4C4CFDD1" w14:textId="77777777" w:rsidR="00B558C4" w:rsidRPr="00B558C4" w:rsidRDefault="00B558C4" w:rsidP="00B558C4">
      <w:pPr>
        <w:pStyle w:val="Body"/>
      </w:pPr>
      <w:r w:rsidRPr="00B558C4">
        <w:t>In accordance with Clause 36.03 of the Mildura Planning Scheme, the purpose of the PCRZ is:</w:t>
      </w:r>
    </w:p>
    <w:p w14:paraId="40B21B22" w14:textId="77777777" w:rsidR="00B7651F" w:rsidRPr="00B558C4" w:rsidRDefault="00824526" w:rsidP="00B558C4">
      <w:pPr>
        <w:pStyle w:val="Bullet"/>
        <w:rPr>
          <w:i/>
        </w:rPr>
      </w:pPr>
      <w:r w:rsidRPr="00B558C4">
        <w:rPr>
          <w:i/>
        </w:rPr>
        <w:t xml:space="preserve">‘To protect and conserve the natural environment and natural processes for their historic, scientific, landscape, habitat or cultural values. </w:t>
      </w:r>
    </w:p>
    <w:p w14:paraId="16926487" w14:textId="364E9C0D" w:rsidR="00B558C4" w:rsidRDefault="00824526" w:rsidP="00B558C4">
      <w:pPr>
        <w:pStyle w:val="Bullet"/>
        <w:rPr>
          <w:i/>
        </w:rPr>
      </w:pPr>
      <w:r w:rsidRPr="00B558C4">
        <w:rPr>
          <w:i/>
        </w:rPr>
        <w:t xml:space="preserve">To provide facilities which assist in public education and interpretation of the natural environment with minimal degradation of the natural environment or natural processes. </w:t>
      </w:r>
    </w:p>
    <w:p w14:paraId="00C55EF1" w14:textId="7BB2F666" w:rsidR="003B7AC9" w:rsidRPr="003B7AC9" w:rsidRDefault="003B7AC9" w:rsidP="003B7AC9">
      <w:pPr>
        <w:pStyle w:val="Bullet"/>
        <w:rPr>
          <w:i/>
        </w:rPr>
      </w:pPr>
      <w:r w:rsidRPr="003B7AC9">
        <w:rPr>
          <w:i/>
        </w:rPr>
        <w:t>To provide for appropriate resource based uses.</w:t>
      </w:r>
    </w:p>
    <w:p w14:paraId="29580122" w14:textId="6DFB8192" w:rsidR="00514920" w:rsidRDefault="003B7AC9" w:rsidP="00B558C4">
      <w:pPr>
        <w:pStyle w:val="Body"/>
      </w:pPr>
      <w:r>
        <w:rPr>
          <w:rFonts w:cs="Arial"/>
        </w:rPr>
        <w:t>The PCRZ is a Public Land Zone within the Planning Scheme</w:t>
      </w:r>
      <w:r w:rsidR="00C07A66">
        <w:rPr>
          <w:rFonts w:cs="Arial"/>
        </w:rPr>
        <w:t>, intended to apply to public land</w:t>
      </w:r>
      <w:r>
        <w:rPr>
          <w:rFonts w:cs="Arial"/>
        </w:rPr>
        <w:t>. It is restrictive in nature with most uses prohibited.</w:t>
      </w:r>
      <w:r w:rsidRPr="00B558C4">
        <w:t xml:space="preserve"> </w:t>
      </w:r>
    </w:p>
    <w:p w14:paraId="2281A465" w14:textId="17E81AFF" w:rsidR="00B558C4" w:rsidRPr="00B558C4" w:rsidRDefault="00B558C4" w:rsidP="00B558C4">
      <w:pPr>
        <w:pStyle w:val="Body"/>
      </w:pPr>
      <w:r w:rsidRPr="00B558C4">
        <w:t>MRCC hosts approximately 40% of the total area of the Victorian Parks system. The major parks include the Hattah-Kulkyne, Murray-Sunset and Wyperfield National Parks, Big Desert Wilderness Park and the Murray-Kulkyne Park. All of these parks are the subject of an overall management plan and contain highly significant landscape, flora, fauna and cultural values. They represent the least disturbed Mallee ecosystems in Australia.</w:t>
      </w:r>
    </w:p>
    <w:p w14:paraId="628C8D9B" w14:textId="77777777" w:rsidR="00B558C4" w:rsidRPr="00B558C4" w:rsidRDefault="00B558C4" w:rsidP="00B558C4">
      <w:pPr>
        <w:pStyle w:val="Body"/>
      </w:pPr>
      <w:r w:rsidRPr="00B558C4">
        <w:t xml:space="preserve">In the </w:t>
      </w:r>
      <w:r w:rsidRPr="00B558C4">
        <w:rPr>
          <w:i/>
          <w:iCs/>
        </w:rPr>
        <w:t>Mildura Planning Scheme</w:t>
      </w:r>
      <w:r w:rsidRPr="00B558C4">
        <w:t xml:space="preserve">, </w:t>
      </w:r>
      <w:r w:rsidRPr="00B558C4">
        <w:rPr>
          <w:i/>
          <w:iCs/>
        </w:rPr>
        <w:t xml:space="preserve">Clause 21.05-4 Public Land </w:t>
      </w:r>
      <w:r w:rsidRPr="00B558C4">
        <w:t>includes objectives with respect to both protection of the environmental, landscape, cultural heritage and archaeological value of public land while supporting opportunities for tourism and improvement of the interface between public and private lands.</w:t>
      </w:r>
    </w:p>
    <w:p w14:paraId="59D01B0E" w14:textId="40B2B9C5" w:rsidR="006E17AB" w:rsidRPr="006E17AB" w:rsidRDefault="00B558C4" w:rsidP="006E17AB">
      <w:pPr>
        <w:pStyle w:val="Heading2"/>
        <w:keepLines w:val="0"/>
        <w:numPr>
          <w:ilvl w:val="0"/>
          <w:numId w:val="0"/>
        </w:numPr>
        <w:spacing w:before="240" w:after="120" w:line="280" w:lineRule="atLeast"/>
        <w:ind w:left="851" w:hanging="851"/>
      </w:pPr>
      <w:r>
        <w:t>Why does this matter</w:t>
      </w:r>
      <w:r w:rsidR="006E17AB" w:rsidRPr="006E17AB">
        <w:t xml:space="preserve">? </w:t>
      </w:r>
    </w:p>
    <w:p w14:paraId="656D6A25" w14:textId="77777777" w:rsidR="00B558C4" w:rsidRPr="00B558C4" w:rsidRDefault="00B558C4" w:rsidP="00B558C4">
      <w:pPr>
        <w:pStyle w:val="Body"/>
      </w:pPr>
      <w:r w:rsidRPr="00B558C4">
        <w:t xml:space="preserve">MRCC is the responsible authority for development in accordance with the Mildura Planning Scheme. Orderly planning relies on correct zoning to provide appropriate guidance. </w:t>
      </w:r>
    </w:p>
    <w:p w14:paraId="663643D3" w14:textId="586D4D00" w:rsidR="006E17AB" w:rsidRDefault="004432AF" w:rsidP="006E17AB">
      <w:pPr>
        <w:pStyle w:val="Heading2"/>
        <w:keepLines w:val="0"/>
        <w:numPr>
          <w:ilvl w:val="0"/>
          <w:numId w:val="0"/>
        </w:numPr>
        <w:spacing w:before="240" w:after="120" w:line="280" w:lineRule="atLeast"/>
        <w:ind w:left="851" w:hanging="851"/>
      </w:pPr>
      <w:r>
        <w:t>Will any overlays be reviewed as part of the project?</w:t>
      </w:r>
    </w:p>
    <w:p w14:paraId="162E3129" w14:textId="08B2ECAA" w:rsidR="00C07A66" w:rsidRDefault="00B558C4" w:rsidP="00B558C4">
      <w:pPr>
        <w:pStyle w:val="Body"/>
      </w:pPr>
      <w:r w:rsidRPr="00B558C4">
        <w:t xml:space="preserve">The Hattah </w:t>
      </w:r>
      <w:r w:rsidR="00E03501">
        <w:t>Township</w:t>
      </w:r>
      <w:r w:rsidRPr="00B558C4">
        <w:t xml:space="preserve"> and all of the immediately surrounding land is contained within the Bushfire Management Overlay (BMO). </w:t>
      </w:r>
      <w:r w:rsidR="00C07A66" w:rsidRPr="00B558C4">
        <w:t>The BMO will be reviewed as part of the project.</w:t>
      </w:r>
    </w:p>
    <w:p w14:paraId="4E635DED" w14:textId="66E8624D" w:rsidR="00B558C4" w:rsidRPr="00B558C4" w:rsidRDefault="00B558C4" w:rsidP="00B558C4">
      <w:pPr>
        <w:pStyle w:val="Body"/>
      </w:pPr>
      <w:r w:rsidRPr="00B558C4">
        <w:t xml:space="preserve">The parcel at 174 Cootamundra Avenue Red Cliffs and all of the surrounding land is not </w:t>
      </w:r>
      <w:r w:rsidR="00C07A66">
        <w:t xml:space="preserve">contained </w:t>
      </w:r>
      <w:r w:rsidRPr="00B558C4">
        <w:t xml:space="preserve">within the BMO. </w:t>
      </w:r>
    </w:p>
    <w:p w14:paraId="1FF6034D" w14:textId="72ECAD1E" w:rsidR="006E17AB" w:rsidRDefault="00B558C4" w:rsidP="006E17AB">
      <w:pPr>
        <w:pStyle w:val="Heading2"/>
        <w:keepLines w:val="0"/>
        <w:numPr>
          <w:ilvl w:val="0"/>
          <w:numId w:val="0"/>
        </w:numPr>
        <w:spacing w:before="240" w:after="120" w:line="280" w:lineRule="atLeast"/>
        <w:ind w:left="851" w:hanging="851"/>
      </w:pPr>
      <w:r>
        <w:t>Why now</w:t>
      </w:r>
      <w:r w:rsidR="006E17AB">
        <w:t>?</w:t>
      </w:r>
    </w:p>
    <w:p w14:paraId="686CCE6E" w14:textId="570837D8" w:rsidR="00B558C4" w:rsidRPr="00B558C4" w:rsidRDefault="00B558C4" w:rsidP="00B558C4">
      <w:pPr>
        <w:pStyle w:val="Body"/>
      </w:pPr>
      <w:r w:rsidRPr="00B558C4">
        <w:t xml:space="preserve">The project is a high priority for Council. During the recent review of the Mildura Planning Scheme undertaken by Ethos Urban in 2018-2019, one submission was received in relation to the zoning of the Hattah </w:t>
      </w:r>
      <w:r w:rsidR="00E03501">
        <w:t>T</w:t>
      </w:r>
      <w:r w:rsidR="00E03501" w:rsidRPr="00B558C4">
        <w:t>ow</w:t>
      </w:r>
      <w:r w:rsidR="00E03501">
        <w:t>nship</w:t>
      </w:r>
      <w:r w:rsidR="00E03501" w:rsidRPr="00B558C4">
        <w:t xml:space="preserve"> </w:t>
      </w:r>
      <w:r w:rsidRPr="00B558C4">
        <w:t xml:space="preserve">and an additional submission was received in relation to </w:t>
      </w:r>
      <w:r w:rsidR="00C07A66">
        <w:t xml:space="preserve">the zoning of </w:t>
      </w:r>
      <w:r w:rsidRPr="00B558C4">
        <w:t>174 Cootamundra Avenue. Both submissions highlighted the need to confirm ownership and consider zoning. In response, the report acknowledged both the anomaly and the need for further work.</w:t>
      </w:r>
    </w:p>
    <w:p w14:paraId="35E2A705" w14:textId="53A35851" w:rsidR="006E17AB" w:rsidRDefault="00B558C4" w:rsidP="006E17AB">
      <w:pPr>
        <w:pStyle w:val="Heading2"/>
        <w:keepLines w:val="0"/>
        <w:numPr>
          <w:ilvl w:val="0"/>
          <w:numId w:val="0"/>
        </w:numPr>
        <w:spacing w:before="240" w:after="120" w:line="280" w:lineRule="atLeast"/>
        <w:ind w:left="851" w:hanging="851"/>
      </w:pPr>
      <w:r>
        <w:t>Will stakeholders have an opportunity to provide input</w:t>
      </w:r>
      <w:r w:rsidR="006E17AB">
        <w:t>?</w:t>
      </w:r>
    </w:p>
    <w:p w14:paraId="05717FF5" w14:textId="4CB2A111" w:rsidR="00B558C4" w:rsidRDefault="00B558C4" w:rsidP="00B558C4">
      <w:pPr>
        <w:pStyle w:val="Body"/>
      </w:pPr>
      <w:r w:rsidRPr="00B558C4">
        <w:t>This project provides the opportunity for interested persons to participate in the planning process. Engagement is focussed on landowners, community and relevant government stakeholders. Local residents are able to provide input via a survey or may get in contact with Council via phone or email. Phone interviews will be undertaken with government stakeholders who are landowners or Statutory Authorities.</w:t>
      </w:r>
    </w:p>
    <w:p w14:paraId="7BD9F033" w14:textId="6BB227EC" w:rsidR="00186F8B" w:rsidRPr="00B558C4" w:rsidRDefault="00186F8B" w:rsidP="00B558C4">
      <w:pPr>
        <w:pStyle w:val="Body"/>
      </w:pPr>
      <w:r>
        <w:t>When the draft Hattah Land Use Plan is placed on exhibition, community and stakeholders will be able to review and provide comments on the proposed zoning</w:t>
      </w:r>
      <w:r w:rsidR="00C07A66">
        <w:t xml:space="preserve"> and overlays</w:t>
      </w:r>
      <w:r>
        <w:t xml:space="preserve">, which will be recommended during this process. </w:t>
      </w:r>
    </w:p>
    <w:p w14:paraId="6E467B45" w14:textId="2EED5AC4" w:rsidR="00B558C4" w:rsidRPr="00B558C4" w:rsidRDefault="00B558C4" w:rsidP="00B558C4">
      <w:pPr>
        <w:pStyle w:val="Body"/>
      </w:pPr>
      <w:r w:rsidRPr="00B558C4">
        <w:t xml:space="preserve">A Planning Scheme Amendment (PSA) will be required to change the zoning. This is the first stage in the rezoning. There will be </w:t>
      </w:r>
      <w:r w:rsidR="00186F8B">
        <w:t>further opportunity to engage when</w:t>
      </w:r>
      <w:r w:rsidRPr="00B558C4">
        <w:t xml:space="preserve"> the PSA is placed on exhibition. This i</w:t>
      </w:r>
      <w:r w:rsidR="00186F8B">
        <w:t>s likely to occur in early 2021</w:t>
      </w:r>
      <w:r w:rsidRPr="00B558C4">
        <w:t xml:space="preserve">. </w:t>
      </w:r>
    </w:p>
    <w:p w14:paraId="208C565B" w14:textId="62F32962" w:rsidR="006E17AB" w:rsidRDefault="00B558C4" w:rsidP="006E17AB">
      <w:pPr>
        <w:pStyle w:val="Heading2"/>
        <w:keepLines w:val="0"/>
        <w:numPr>
          <w:ilvl w:val="0"/>
          <w:numId w:val="0"/>
        </w:numPr>
        <w:spacing w:before="240" w:after="120" w:line="280" w:lineRule="atLeast"/>
        <w:ind w:left="851" w:hanging="851"/>
      </w:pPr>
      <w:r>
        <w:t>When will the new zoning be implemented</w:t>
      </w:r>
      <w:r w:rsidR="006E17AB">
        <w:t xml:space="preserve">? </w:t>
      </w:r>
    </w:p>
    <w:p w14:paraId="7DC44255" w14:textId="07683B9D" w:rsidR="00B558C4" w:rsidRPr="00B558C4" w:rsidRDefault="00B558C4" w:rsidP="00B558C4">
      <w:pPr>
        <w:pStyle w:val="Body"/>
      </w:pPr>
      <w:r w:rsidRPr="00B558C4">
        <w:t>Full completion of this project, including adoption by Council, is anticipated to take 12 months from commencement. The new Council will make a decision on the PSA recommendations (this project) in early 2021.</w:t>
      </w:r>
    </w:p>
    <w:p w14:paraId="7FDBB740" w14:textId="12EBA6EB" w:rsidR="00341A43" w:rsidRPr="00341A43" w:rsidRDefault="00341A43" w:rsidP="00341A43">
      <w:pPr>
        <w:pStyle w:val="Body"/>
      </w:pPr>
    </w:p>
    <w:sectPr w:rsidR="00341A43" w:rsidRPr="00341A43" w:rsidSect="00843761">
      <w:headerReference w:type="default" r:id="rId14"/>
      <w:footerReference w:type="default" r:id="rId15"/>
      <w:headerReference w:type="first" r:id="rId16"/>
      <w:footerReference w:type="firs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69535" w14:textId="77777777" w:rsidR="00C97A26" w:rsidRDefault="00C97A26" w:rsidP="004A6CF8">
      <w:r>
        <w:separator/>
      </w:r>
    </w:p>
  </w:endnote>
  <w:endnote w:type="continuationSeparator" w:id="0">
    <w:p w14:paraId="171BBA91" w14:textId="77777777" w:rsidR="00C97A26" w:rsidRDefault="00C97A26" w:rsidP="004A6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51DCD" w14:textId="3B8E3451" w:rsidR="00843761" w:rsidRDefault="00843761" w:rsidP="00843761">
    <w:pPr>
      <w:pStyle w:val="Footer"/>
      <w:pBdr>
        <w:bottom w:val="single" w:sz="4" w:space="1" w:color="auto"/>
      </w:pBdr>
      <w:jc w:val="left"/>
      <w:rPr>
        <w:sz w:val="20"/>
      </w:rPr>
    </w:pPr>
  </w:p>
  <w:p w14:paraId="5979E6A9" w14:textId="77777777" w:rsidR="004C1587" w:rsidRPr="00843761" w:rsidRDefault="004C1587" w:rsidP="00843761">
    <w:pPr>
      <w:pStyle w:val="Footer"/>
      <w:pBdr>
        <w:bottom w:val="single" w:sz="4" w:space="1" w:color="auto"/>
      </w:pBdr>
      <w:jc w:val="left"/>
      <w:rPr>
        <w:sz w:val="20"/>
      </w:rPr>
    </w:pPr>
  </w:p>
  <w:p w14:paraId="15592311" w14:textId="77777777" w:rsidR="00843761" w:rsidRDefault="00843761" w:rsidP="00843761">
    <w:pPr>
      <w:pStyle w:val="Footer"/>
      <w:tabs>
        <w:tab w:val="left" w:pos="7938"/>
      </w:tabs>
      <w:jc w:val="left"/>
      <w:rPr>
        <w:sz w:val="20"/>
      </w:rPr>
    </w:pPr>
  </w:p>
  <w:p w14:paraId="77C5E999" w14:textId="2B25C67B" w:rsidR="00843761" w:rsidRPr="00843761" w:rsidRDefault="00843761" w:rsidP="00843761">
    <w:pPr>
      <w:pStyle w:val="Footer"/>
      <w:tabs>
        <w:tab w:val="left" w:pos="7938"/>
      </w:tabs>
      <w:jc w:val="left"/>
      <w:rPr>
        <w:sz w:val="20"/>
      </w:rPr>
    </w:pPr>
    <w:r w:rsidRPr="00843761">
      <w:rPr>
        <w:sz w:val="20"/>
      </w:rPr>
      <w:t>Mildura Rural City Counci</w:t>
    </w:r>
    <w:r w:rsidRPr="00843761">
      <w:rPr>
        <w:sz w:val="20"/>
      </w:rPr>
      <w:tab/>
    </w:r>
    <w:sdt>
      <w:sdtPr>
        <w:rPr>
          <w:sz w:val="20"/>
        </w:rPr>
        <w:id w:val="-1994781063"/>
        <w:docPartObj>
          <w:docPartGallery w:val="Page Numbers (Bottom of Page)"/>
          <w:docPartUnique/>
        </w:docPartObj>
      </w:sdtPr>
      <w:sdtEndPr>
        <w:rPr>
          <w:noProof/>
        </w:rPr>
      </w:sdtEndPr>
      <w:sdtContent>
        <w:r w:rsidRPr="00843761">
          <w:rPr>
            <w:sz w:val="20"/>
          </w:rPr>
          <w:t xml:space="preserve">Page </w:t>
        </w:r>
        <w:r w:rsidRPr="00843761">
          <w:rPr>
            <w:sz w:val="20"/>
          </w:rPr>
          <w:fldChar w:fldCharType="begin"/>
        </w:r>
        <w:r w:rsidRPr="00843761">
          <w:rPr>
            <w:sz w:val="20"/>
          </w:rPr>
          <w:instrText xml:space="preserve"> PAGE   \* MERGEFORMAT </w:instrText>
        </w:r>
        <w:r w:rsidRPr="00843761">
          <w:rPr>
            <w:sz w:val="20"/>
          </w:rPr>
          <w:fldChar w:fldCharType="separate"/>
        </w:r>
        <w:r w:rsidR="00C97A26">
          <w:rPr>
            <w:noProof/>
            <w:sz w:val="20"/>
          </w:rPr>
          <w:t>1</w:t>
        </w:r>
        <w:r w:rsidRPr="00843761">
          <w:rPr>
            <w:noProof/>
            <w:sz w:val="20"/>
          </w:rPr>
          <w:fldChar w:fldCharType="end"/>
        </w:r>
        <w:r w:rsidRPr="00843761">
          <w:rPr>
            <w:noProof/>
            <w:sz w:val="20"/>
          </w:rPr>
          <w:t xml:space="preserve"> of 4</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161EA" w14:textId="77777777" w:rsidR="00843761" w:rsidRDefault="00843761" w:rsidP="00843761">
    <w:pPr>
      <w:pStyle w:val="Header"/>
      <w:rPr>
        <w:noProof/>
        <w:lang w:val="en-US" w:eastAsia="en-AU"/>
      </w:rPr>
    </w:pPr>
  </w:p>
  <w:p w14:paraId="0039FE8A" w14:textId="77777777" w:rsidR="00843761" w:rsidRDefault="00843761" w:rsidP="00843761">
    <w:pPr>
      <w:pStyle w:val="Header"/>
      <w:pBdr>
        <w:top w:val="single" w:sz="4" w:space="1" w:color="auto"/>
      </w:pBdr>
      <w:rPr>
        <w:noProof/>
        <w:lang w:val="en-US" w:eastAsia="en-AU"/>
      </w:rPr>
    </w:pPr>
  </w:p>
  <w:p w14:paraId="4ACF2387" w14:textId="6EE5C817" w:rsidR="00843761" w:rsidRPr="008B6BE2" w:rsidRDefault="00843761" w:rsidP="00843761">
    <w:pPr>
      <w:pStyle w:val="Header"/>
      <w:rPr>
        <w:lang w:val="en-US"/>
      </w:rPr>
    </w:pPr>
    <w:r>
      <w:rPr>
        <w:noProof/>
        <w:lang w:val="en-US" w:eastAsia="en-AU"/>
      </w:rPr>
      <w:t>Mildura Rural City Council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350FB" w14:textId="77777777" w:rsidR="00C97A26" w:rsidRDefault="00C97A26" w:rsidP="004A6CF8">
      <w:r>
        <w:separator/>
      </w:r>
    </w:p>
  </w:footnote>
  <w:footnote w:type="continuationSeparator" w:id="0">
    <w:p w14:paraId="4682BEB7" w14:textId="77777777" w:rsidR="00C97A26" w:rsidRDefault="00C97A26" w:rsidP="004A6CF8">
      <w:r>
        <w:continuationSeparator/>
      </w:r>
    </w:p>
  </w:footnote>
  <w:footnote w:id="1">
    <w:p w14:paraId="7AA37A2C" w14:textId="5122F541" w:rsidR="00514920" w:rsidRPr="00514920" w:rsidRDefault="00514920">
      <w:pPr>
        <w:pStyle w:val="FootnoteText"/>
        <w:rPr>
          <w:lang w:val="en-US"/>
        </w:rPr>
      </w:pPr>
      <w:r>
        <w:rPr>
          <w:rStyle w:val="FootnoteReference"/>
        </w:rPr>
        <w:footnoteRef/>
      </w:r>
      <w:r>
        <w:t xml:space="preserve"> </w:t>
      </w:r>
      <w:r>
        <w:rPr>
          <w:sz w:val="18"/>
        </w:rPr>
        <w:t>Map created by GHD using VicPlan data (August 2020)</w:t>
      </w:r>
    </w:p>
  </w:footnote>
  <w:footnote w:id="2">
    <w:p w14:paraId="526F1D57" w14:textId="381123D9" w:rsidR="00514920" w:rsidRPr="00514920" w:rsidRDefault="00514920">
      <w:pPr>
        <w:pStyle w:val="FootnoteText"/>
        <w:rPr>
          <w:lang w:val="en-US"/>
        </w:rPr>
      </w:pPr>
      <w:r>
        <w:rPr>
          <w:rStyle w:val="FootnoteReference"/>
        </w:rPr>
        <w:footnoteRef/>
      </w:r>
      <w:r>
        <w:t xml:space="preserve"> </w:t>
      </w:r>
      <w:r>
        <w:rPr>
          <w:sz w:val="18"/>
        </w:rPr>
        <w:t xml:space="preserve">Map sourced from </w:t>
      </w:r>
      <w:r w:rsidRPr="006A2AB8">
        <w:rPr>
          <w:sz w:val="18"/>
        </w:rPr>
        <w:t>VicPlan</w:t>
      </w:r>
      <w:r>
        <w:rPr>
          <w:sz w:val="18"/>
        </w:rPr>
        <w:t xml:space="preserve"> (August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7739203"/>
      <w:docPartObj>
        <w:docPartGallery w:val="Page Numbers (Top of Page)"/>
        <w:docPartUnique/>
      </w:docPartObj>
    </w:sdtPr>
    <w:sdtEndPr>
      <w:rPr>
        <w:noProof/>
      </w:rPr>
    </w:sdtEndPr>
    <w:sdtContent>
      <w:p w14:paraId="30EF6CB9" w14:textId="4CD09785" w:rsidR="00843761" w:rsidRDefault="00843761" w:rsidP="00843761">
        <w:pPr>
          <w:pStyle w:val="Header"/>
          <w:tabs>
            <w:tab w:val="left" w:pos="7797"/>
          </w:tabs>
        </w:pPr>
        <w:r>
          <w:t>Hattah Structure Plan</w:t>
        </w:r>
        <w:r>
          <w:tab/>
          <w:t>October 2020</w:t>
        </w:r>
      </w:p>
      <w:p w14:paraId="24BB535B" w14:textId="379E2016" w:rsidR="00843761" w:rsidRDefault="00843761" w:rsidP="00843761">
        <w:pPr>
          <w:pStyle w:val="Header"/>
          <w:pBdr>
            <w:bottom w:val="single" w:sz="4" w:space="1" w:color="auto"/>
          </w:pBdr>
        </w:pPr>
      </w:p>
    </w:sdtContent>
  </w:sdt>
  <w:p w14:paraId="6DA8B487" w14:textId="6DA60F89" w:rsidR="00843761" w:rsidRDefault="00843761">
    <w:pPr>
      <w:pStyle w:val="Header"/>
    </w:pPr>
  </w:p>
  <w:p w14:paraId="56A77F69" w14:textId="77777777" w:rsidR="00843761" w:rsidRDefault="00843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7297D" w14:textId="799750F8" w:rsidR="004A6CF8" w:rsidRDefault="00843761" w:rsidP="00843761">
    <w:pPr>
      <w:pStyle w:val="Header"/>
    </w:pPr>
    <w:r>
      <w:t>Hattah Structure Plan</w:t>
    </w:r>
    <w:r>
      <w:tab/>
    </w:r>
    <w:r>
      <w:tab/>
    </w:r>
    <w:r>
      <w:tab/>
    </w:r>
    <w:r>
      <w:tab/>
    </w:r>
    <w:r>
      <w:tab/>
    </w:r>
    <w:r>
      <w:tab/>
    </w:r>
    <w:r>
      <w:tab/>
    </w:r>
    <w:r>
      <w:tab/>
      <w:t>October 2020</w:t>
    </w:r>
  </w:p>
  <w:p w14:paraId="3D0A428A" w14:textId="00BE41A6" w:rsidR="00843761" w:rsidRDefault="00843761" w:rsidP="00843761">
    <w:pPr>
      <w:pStyle w:val="Header"/>
      <w:pBdr>
        <w:bottom w:val="single" w:sz="4" w:space="1" w:color="auto"/>
      </w:pBdr>
    </w:pPr>
  </w:p>
  <w:p w14:paraId="1DE93C52" w14:textId="77777777" w:rsidR="00843761" w:rsidRPr="00843761" w:rsidRDefault="00843761" w:rsidP="00843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7CAD"/>
    <w:multiLevelType w:val="multilevel"/>
    <w:tmpl w:val="AB8498C6"/>
    <w:lvl w:ilvl="0">
      <w:start w:val="1"/>
      <w:numFmt w:val="upperLetter"/>
      <w:suff w:val="nothing"/>
      <w:lvlText w:val="Appendix %1"/>
      <w:lvlJc w:val="left"/>
      <w:pPr>
        <w:ind w:left="1588" w:firstLine="0"/>
      </w:pPr>
      <w:rPr>
        <w:rFonts w:ascii="Arial" w:hAnsi="Arial" w:hint="default"/>
        <w:sz w:val="28"/>
      </w:rPr>
    </w:lvl>
    <w:lvl w:ilvl="1">
      <w:start w:val="1"/>
      <w:numFmt w:val="decimal"/>
      <w:suff w:val="nothing"/>
      <w:lvlText w:val="Appendix %1%2"/>
      <w:lvlJc w:val="left"/>
      <w:pPr>
        <w:ind w:left="2308" w:firstLine="0"/>
      </w:pPr>
      <w:rPr>
        <w:rFonts w:ascii="Arial" w:hAnsi="Arial" w:hint="default"/>
        <w:sz w:val="28"/>
      </w:rPr>
    </w:lvl>
    <w:lvl w:ilvl="2">
      <w:start w:val="1"/>
      <w:numFmt w:val="decimal"/>
      <w:lvlText w:val="%3."/>
      <w:lvlJc w:val="left"/>
      <w:pPr>
        <w:tabs>
          <w:tab w:val="num" w:pos="3388"/>
        </w:tabs>
        <w:ind w:left="3028" w:firstLine="0"/>
      </w:pPr>
      <w:rPr>
        <w:rFonts w:hint="default"/>
      </w:rPr>
    </w:lvl>
    <w:lvl w:ilvl="3">
      <w:start w:val="1"/>
      <w:numFmt w:val="lowerLetter"/>
      <w:lvlText w:val="%4)"/>
      <w:lvlJc w:val="left"/>
      <w:pPr>
        <w:tabs>
          <w:tab w:val="num" w:pos="4108"/>
        </w:tabs>
        <w:ind w:left="3748" w:firstLine="0"/>
      </w:pPr>
      <w:rPr>
        <w:rFonts w:hint="default"/>
      </w:rPr>
    </w:lvl>
    <w:lvl w:ilvl="4">
      <w:start w:val="1"/>
      <w:numFmt w:val="decimal"/>
      <w:lvlText w:val="(%5)"/>
      <w:lvlJc w:val="left"/>
      <w:pPr>
        <w:tabs>
          <w:tab w:val="num" w:pos="4828"/>
        </w:tabs>
        <w:ind w:left="4468" w:firstLine="0"/>
      </w:pPr>
      <w:rPr>
        <w:rFonts w:hint="default"/>
      </w:rPr>
    </w:lvl>
    <w:lvl w:ilvl="5">
      <w:start w:val="1"/>
      <w:numFmt w:val="lowerLetter"/>
      <w:lvlText w:val="(%6)"/>
      <w:lvlJc w:val="left"/>
      <w:pPr>
        <w:tabs>
          <w:tab w:val="num" w:pos="5548"/>
        </w:tabs>
        <w:ind w:left="5188" w:firstLine="0"/>
      </w:pPr>
      <w:rPr>
        <w:rFonts w:hint="default"/>
      </w:rPr>
    </w:lvl>
    <w:lvl w:ilvl="6">
      <w:start w:val="1"/>
      <w:numFmt w:val="lowerRoman"/>
      <w:lvlText w:val="(%7)"/>
      <w:lvlJc w:val="left"/>
      <w:pPr>
        <w:tabs>
          <w:tab w:val="num" w:pos="6268"/>
        </w:tabs>
        <w:ind w:left="5908" w:firstLine="0"/>
      </w:pPr>
      <w:rPr>
        <w:rFonts w:hint="default"/>
      </w:rPr>
    </w:lvl>
    <w:lvl w:ilvl="7">
      <w:start w:val="1"/>
      <w:numFmt w:val="lowerLetter"/>
      <w:lvlText w:val="(%8)"/>
      <w:lvlJc w:val="left"/>
      <w:pPr>
        <w:tabs>
          <w:tab w:val="num" w:pos="6988"/>
        </w:tabs>
        <w:ind w:left="6628" w:firstLine="0"/>
      </w:pPr>
      <w:rPr>
        <w:rFonts w:hint="default"/>
      </w:rPr>
    </w:lvl>
    <w:lvl w:ilvl="8">
      <w:start w:val="1"/>
      <w:numFmt w:val="lowerRoman"/>
      <w:lvlText w:val="(%9)"/>
      <w:lvlJc w:val="left"/>
      <w:pPr>
        <w:tabs>
          <w:tab w:val="num" w:pos="7708"/>
        </w:tabs>
        <w:ind w:left="7348" w:firstLine="0"/>
      </w:pPr>
      <w:rPr>
        <w:rFonts w:hint="default"/>
      </w:rPr>
    </w:lvl>
  </w:abstractNum>
  <w:abstractNum w:abstractNumId="1" w15:restartNumberingAfterBreak="0">
    <w:nsid w:val="0A093018"/>
    <w:multiLevelType w:val="hybridMultilevel"/>
    <w:tmpl w:val="8B96A4C0"/>
    <w:lvl w:ilvl="0" w:tplc="285228AA">
      <w:start w:val="1"/>
      <w:numFmt w:val="bullet"/>
      <w:lvlText w:val="–"/>
      <w:lvlJc w:val="left"/>
      <w:pPr>
        <w:tabs>
          <w:tab w:val="num" w:pos="644"/>
        </w:tabs>
        <w:ind w:left="568" w:hanging="284"/>
      </w:pPr>
      <w:rPr>
        <w:rFonts w:hAnsi="Arial" w:hint="default"/>
        <w:sz w:val="1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1A0289"/>
    <w:multiLevelType w:val="multilevel"/>
    <w:tmpl w:val="708C1756"/>
    <w:lvl w:ilvl="0">
      <w:start w:val="1"/>
      <w:numFmt w:val="decimal"/>
      <w:pStyle w:val="Heading1"/>
      <w:lvlText w:val="%1."/>
      <w:lvlJc w:val="left"/>
      <w:pPr>
        <w:tabs>
          <w:tab w:val="num" w:pos="992"/>
        </w:tabs>
        <w:ind w:left="992" w:hanging="992"/>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42E6854"/>
    <w:multiLevelType w:val="hybridMultilevel"/>
    <w:tmpl w:val="ACDAC772"/>
    <w:lvl w:ilvl="0" w:tplc="C670293E">
      <w:start w:val="1"/>
      <w:numFmt w:val="bullet"/>
      <w:pStyle w:val="Bullet"/>
      <w:lvlText w:val="—"/>
      <w:lvlJc w:val="left"/>
      <w:pPr>
        <w:tabs>
          <w:tab w:val="num" w:pos="360"/>
        </w:tabs>
        <w:ind w:left="360" w:hanging="360"/>
      </w:pPr>
      <w:rPr>
        <w:rFonts w:ascii="Wingdings 2" w:hAnsi="Wingdings 2"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244152"/>
    <w:multiLevelType w:val="multilevel"/>
    <w:tmpl w:val="48D225A2"/>
    <w:lvl w:ilvl="0">
      <w:start w:val="1"/>
      <w:numFmt w:val="upperLetter"/>
      <w:pStyle w:val="Appendix"/>
      <w:suff w:val="space"/>
      <w:lvlText w:val="Appendix %1"/>
      <w:lvlJc w:val="left"/>
      <w:pPr>
        <w:ind w:left="288" w:hanging="288"/>
      </w:pPr>
      <w:rPr>
        <w:rFonts w:ascii="Arial Black" w:hAnsi="Arial Black" w:cs="Arial" w:hint="default"/>
        <w:b w:val="0"/>
        <w:i w:val="0"/>
        <w:color w:val="auto"/>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CA20729"/>
    <w:multiLevelType w:val="hybridMultilevel"/>
    <w:tmpl w:val="98207F58"/>
    <w:lvl w:ilvl="0" w:tplc="BF6E57D0">
      <w:start w:val="1"/>
      <w:numFmt w:val="bullet"/>
      <w:pStyle w:val="Bullet2"/>
      <w:lvlText w:val="–"/>
      <w:lvlJc w:val="left"/>
      <w:pPr>
        <w:tabs>
          <w:tab w:val="num" w:pos="644"/>
        </w:tabs>
        <w:ind w:left="567" w:hanging="283"/>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1077C1"/>
    <w:multiLevelType w:val="hybridMultilevel"/>
    <w:tmpl w:val="EBF482FE"/>
    <w:lvl w:ilvl="0" w:tplc="BCD81BDA">
      <w:start w:val="1"/>
      <w:numFmt w:val="bullet"/>
      <w:lvlText w:val="•"/>
      <w:lvlJc w:val="left"/>
      <w:pPr>
        <w:tabs>
          <w:tab w:val="num" w:pos="720"/>
        </w:tabs>
        <w:ind w:left="720" w:hanging="360"/>
      </w:pPr>
      <w:rPr>
        <w:rFonts w:ascii="Arial" w:hAnsi="Arial" w:hint="default"/>
      </w:rPr>
    </w:lvl>
    <w:lvl w:ilvl="1" w:tplc="DC727BF6" w:tentative="1">
      <w:start w:val="1"/>
      <w:numFmt w:val="bullet"/>
      <w:lvlText w:val="•"/>
      <w:lvlJc w:val="left"/>
      <w:pPr>
        <w:tabs>
          <w:tab w:val="num" w:pos="1440"/>
        </w:tabs>
        <w:ind w:left="1440" w:hanging="360"/>
      </w:pPr>
      <w:rPr>
        <w:rFonts w:ascii="Arial" w:hAnsi="Arial" w:hint="default"/>
      </w:rPr>
    </w:lvl>
    <w:lvl w:ilvl="2" w:tplc="F9F85ED8" w:tentative="1">
      <w:start w:val="1"/>
      <w:numFmt w:val="bullet"/>
      <w:lvlText w:val="•"/>
      <w:lvlJc w:val="left"/>
      <w:pPr>
        <w:tabs>
          <w:tab w:val="num" w:pos="2160"/>
        </w:tabs>
        <w:ind w:left="2160" w:hanging="360"/>
      </w:pPr>
      <w:rPr>
        <w:rFonts w:ascii="Arial" w:hAnsi="Arial" w:hint="default"/>
      </w:rPr>
    </w:lvl>
    <w:lvl w:ilvl="3" w:tplc="0ACA26E0" w:tentative="1">
      <w:start w:val="1"/>
      <w:numFmt w:val="bullet"/>
      <w:lvlText w:val="•"/>
      <w:lvlJc w:val="left"/>
      <w:pPr>
        <w:tabs>
          <w:tab w:val="num" w:pos="2880"/>
        </w:tabs>
        <w:ind w:left="2880" w:hanging="360"/>
      </w:pPr>
      <w:rPr>
        <w:rFonts w:ascii="Arial" w:hAnsi="Arial" w:hint="default"/>
      </w:rPr>
    </w:lvl>
    <w:lvl w:ilvl="4" w:tplc="B2C013C8" w:tentative="1">
      <w:start w:val="1"/>
      <w:numFmt w:val="bullet"/>
      <w:lvlText w:val="•"/>
      <w:lvlJc w:val="left"/>
      <w:pPr>
        <w:tabs>
          <w:tab w:val="num" w:pos="3600"/>
        </w:tabs>
        <w:ind w:left="3600" w:hanging="360"/>
      </w:pPr>
      <w:rPr>
        <w:rFonts w:ascii="Arial" w:hAnsi="Arial" w:hint="default"/>
      </w:rPr>
    </w:lvl>
    <w:lvl w:ilvl="5" w:tplc="1C50A128" w:tentative="1">
      <w:start w:val="1"/>
      <w:numFmt w:val="bullet"/>
      <w:lvlText w:val="•"/>
      <w:lvlJc w:val="left"/>
      <w:pPr>
        <w:tabs>
          <w:tab w:val="num" w:pos="4320"/>
        </w:tabs>
        <w:ind w:left="4320" w:hanging="360"/>
      </w:pPr>
      <w:rPr>
        <w:rFonts w:ascii="Arial" w:hAnsi="Arial" w:hint="default"/>
      </w:rPr>
    </w:lvl>
    <w:lvl w:ilvl="6" w:tplc="FFBC9EB4" w:tentative="1">
      <w:start w:val="1"/>
      <w:numFmt w:val="bullet"/>
      <w:lvlText w:val="•"/>
      <w:lvlJc w:val="left"/>
      <w:pPr>
        <w:tabs>
          <w:tab w:val="num" w:pos="5040"/>
        </w:tabs>
        <w:ind w:left="5040" w:hanging="360"/>
      </w:pPr>
      <w:rPr>
        <w:rFonts w:ascii="Arial" w:hAnsi="Arial" w:hint="default"/>
      </w:rPr>
    </w:lvl>
    <w:lvl w:ilvl="7" w:tplc="ECDC755C" w:tentative="1">
      <w:start w:val="1"/>
      <w:numFmt w:val="bullet"/>
      <w:lvlText w:val="•"/>
      <w:lvlJc w:val="left"/>
      <w:pPr>
        <w:tabs>
          <w:tab w:val="num" w:pos="5760"/>
        </w:tabs>
        <w:ind w:left="5760" w:hanging="360"/>
      </w:pPr>
      <w:rPr>
        <w:rFonts w:ascii="Arial" w:hAnsi="Arial" w:hint="default"/>
      </w:rPr>
    </w:lvl>
    <w:lvl w:ilvl="8" w:tplc="DA7C76F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9556E5"/>
    <w:multiLevelType w:val="hybridMultilevel"/>
    <w:tmpl w:val="6E1A6310"/>
    <w:lvl w:ilvl="0" w:tplc="90209EEC">
      <w:start w:val="1"/>
      <w:numFmt w:val="bullet"/>
      <w:lvlText w:val="–"/>
      <w:lvlJc w:val="left"/>
      <w:pPr>
        <w:tabs>
          <w:tab w:val="num" w:pos="1134"/>
        </w:tabs>
        <w:ind w:left="1361" w:hanging="227"/>
      </w:pPr>
      <w:rPr>
        <w:rFonts w:ascii="Arial" w:hAnsi="Arial" w:cs="Aria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4B5E68"/>
    <w:multiLevelType w:val="hybridMultilevel"/>
    <w:tmpl w:val="3FF88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030837"/>
    <w:multiLevelType w:val="hybridMultilevel"/>
    <w:tmpl w:val="9E4C62F0"/>
    <w:lvl w:ilvl="0" w:tplc="316EB756">
      <w:start w:val="1"/>
      <w:numFmt w:val="bullet"/>
      <w:lvlText w:val="•"/>
      <w:lvlJc w:val="left"/>
      <w:pPr>
        <w:tabs>
          <w:tab w:val="num" w:pos="720"/>
        </w:tabs>
        <w:ind w:left="720" w:hanging="360"/>
      </w:pPr>
      <w:rPr>
        <w:rFonts w:ascii="Arial" w:hAnsi="Arial" w:hint="default"/>
      </w:rPr>
    </w:lvl>
    <w:lvl w:ilvl="1" w:tplc="0576F716" w:tentative="1">
      <w:start w:val="1"/>
      <w:numFmt w:val="bullet"/>
      <w:lvlText w:val="•"/>
      <w:lvlJc w:val="left"/>
      <w:pPr>
        <w:tabs>
          <w:tab w:val="num" w:pos="1440"/>
        </w:tabs>
        <w:ind w:left="1440" w:hanging="360"/>
      </w:pPr>
      <w:rPr>
        <w:rFonts w:ascii="Arial" w:hAnsi="Arial" w:hint="default"/>
      </w:rPr>
    </w:lvl>
    <w:lvl w:ilvl="2" w:tplc="C068F46E" w:tentative="1">
      <w:start w:val="1"/>
      <w:numFmt w:val="bullet"/>
      <w:lvlText w:val="•"/>
      <w:lvlJc w:val="left"/>
      <w:pPr>
        <w:tabs>
          <w:tab w:val="num" w:pos="2160"/>
        </w:tabs>
        <w:ind w:left="2160" w:hanging="360"/>
      </w:pPr>
      <w:rPr>
        <w:rFonts w:ascii="Arial" w:hAnsi="Arial" w:hint="default"/>
      </w:rPr>
    </w:lvl>
    <w:lvl w:ilvl="3" w:tplc="E1CCF472" w:tentative="1">
      <w:start w:val="1"/>
      <w:numFmt w:val="bullet"/>
      <w:lvlText w:val="•"/>
      <w:lvlJc w:val="left"/>
      <w:pPr>
        <w:tabs>
          <w:tab w:val="num" w:pos="2880"/>
        </w:tabs>
        <w:ind w:left="2880" w:hanging="360"/>
      </w:pPr>
      <w:rPr>
        <w:rFonts w:ascii="Arial" w:hAnsi="Arial" w:hint="default"/>
      </w:rPr>
    </w:lvl>
    <w:lvl w:ilvl="4" w:tplc="7C28787C" w:tentative="1">
      <w:start w:val="1"/>
      <w:numFmt w:val="bullet"/>
      <w:lvlText w:val="•"/>
      <w:lvlJc w:val="left"/>
      <w:pPr>
        <w:tabs>
          <w:tab w:val="num" w:pos="3600"/>
        </w:tabs>
        <w:ind w:left="3600" w:hanging="360"/>
      </w:pPr>
      <w:rPr>
        <w:rFonts w:ascii="Arial" w:hAnsi="Arial" w:hint="default"/>
      </w:rPr>
    </w:lvl>
    <w:lvl w:ilvl="5" w:tplc="88AA4810" w:tentative="1">
      <w:start w:val="1"/>
      <w:numFmt w:val="bullet"/>
      <w:lvlText w:val="•"/>
      <w:lvlJc w:val="left"/>
      <w:pPr>
        <w:tabs>
          <w:tab w:val="num" w:pos="4320"/>
        </w:tabs>
        <w:ind w:left="4320" w:hanging="360"/>
      </w:pPr>
      <w:rPr>
        <w:rFonts w:ascii="Arial" w:hAnsi="Arial" w:hint="default"/>
      </w:rPr>
    </w:lvl>
    <w:lvl w:ilvl="6" w:tplc="0ACC8724" w:tentative="1">
      <w:start w:val="1"/>
      <w:numFmt w:val="bullet"/>
      <w:lvlText w:val="•"/>
      <w:lvlJc w:val="left"/>
      <w:pPr>
        <w:tabs>
          <w:tab w:val="num" w:pos="5040"/>
        </w:tabs>
        <w:ind w:left="5040" w:hanging="360"/>
      </w:pPr>
      <w:rPr>
        <w:rFonts w:ascii="Arial" w:hAnsi="Arial" w:hint="default"/>
      </w:rPr>
    </w:lvl>
    <w:lvl w:ilvl="7" w:tplc="102A6D96" w:tentative="1">
      <w:start w:val="1"/>
      <w:numFmt w:val="bullet"/>
      <w:lvlText w:val="•"/>
      <w:lvlJc w:val="left"/>
      <w:pPr>
        <w:tabs>
          <w:tab w:val="num" w:pos="5760"/>
        </w:tabs>
        <w:ind w:left="5760" w:hanging="360"/>
      </w:pPr>
      <w:rPr>
        <w:rFonts w:ascii="Arial" w:hAnsi="Arial" w:hint="default"/>
      </w:rPr>
    </w:lvl>
    <w:lvl w:ilvl="8" w:tplc="A98497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C063660"/>
    <w:multiLevelType w:val="hybridMultilevel"/>
    <w:tmpl w:val="8EDE745C"/>
    <w:lvl w:ilvl="0" w:tplc="825C6C78">
      <w:start w:val="1"/>
      <w:numFmt w:val="bullet"/>
      <w:lvlText w:val="•"/>
      <w:lvlJc w:val="left"/>
      <w:pPr>
        <w:tabs>
          <w:tab w:val="num" w:pos="720"/>
        </w:tabs>
        <w:ind w:left="720" w:hanging="360"/>
      </w:pPr>
      <w:rPr>
        <w:rFonts w:ascii="Arial" w:hAnsi="Arial" w:hint="default"/>
      </w:rPr>
    </w:lvl>
    <w:lvl w:ilvl="1" w:tplc="D5FE14C8" w:tentative="1">
      <w:start w:val="1"/>
      <w:numFmt w:val="bullet"/>
      <w:lvlText w:val="•"/>
      <w:lvlJc w:val="left"/>
      <w:pPr>
        <w:tabs>
          <w:tab w:val="num" w:pos="1440"/>
        </w:tabs>
        <w:ind w:left="1440" w:hanging="360"/>
      </w:pPr>
      <w:rPr>
        <w:rFonts w:ascii="Arial" w:hAnsi="Arial" w:hint="default"/>
      </w:rPr>
    </w:lvl>
    <w:lvl w:ilvl="2" w:tplc="A1E084EC" w:tentative="1">
      <w:start w:val="1"/>
      <w:numFmt w:val="bullet"/>
      <w:lvlText w:val="•"/>
      <w:lvlJc w:val="left"/>
      <w:pPr>
        <w:tabs>
          <w:tab w:val="num" w:pos="2160"/>
        </w:tabs>
        <w:ind w:left="2160" w:hanging="360"/>
      </w:pPr>
      <w:rPr>
        <w:rFonts w:ascii="Arial" w:hAnsi="Arial" w:hint="default"/>
      </w:rPr>
    </w:lvl>
    <w:lvl w:ilvl="3" w:tplc="BC687D22" w:tentative="1">
      <w:start w:val="1"/>
      <w:numFmt w:val="bullet"/>
      <w:lvlText w:val="•"/>
      <w:lvlJc w:val="left"/>
      <w:pPr>
        <w:tabs>
          <w:tab w:val="num" w:pos="2880"/>
        </w:tabs>
        <w:ind w:left="2880" w:hanging="360"/>
      </w:pPr>
      <w:rPr>
        <w:rFonts w:ascii="Arial" w:hAnsi="Arial" w:hint="default"/>
      </w:rPr>
    </w:lvl>
    <w:lvl w:ilvl="4" w:tplc="F9A01FF8" w:tentative="1">
      <w:start w:val="1"/>
      <w:numFmt w:val="bullet"/>
      <w:lvlText w:val="•"/>
      <w:lvlJc w:val="left"/>
      <w:pPr>
        <w:tabs>
          <w:tab w:val="num" w:pos="3600"/>
        </w:tabs>
        <w:ind w:left="3600" w:hanging="360"/>
      </w:pPr>
      <w:rPr>
        <w:rFonts w:ascii="Arial" w:hAnsi="Arial" w:hint="default"/>
      </w:rPr>
    </w:lvl>
    <w:lvl w:ilvl="5" w:tplc="B0566F66" w:tentative="1">
      <w:start w:val="1"/>
      <w:numFmt w:val="bullet"/>
      <w:lvlText w:val="•"/>
      <w:lvlJc w:val="left"/>
      <w:pPr>
        <w:tabs>
          <w:tab w:val="num" w:pos="4320"/>
        </w:tabs>
        <w:ind w:left="4320" w:hanging="360"/>
      </w:pPr>
      <w:rPr>
        <w:rFonts w:ascii="Arial" w:hAnsi="Arial" w:hint="default"/>
      </w:rPr>
    </w:lvl>
    <w:lvl w:ilvl="6" w:tplc="2DAC7C1E" w:tentative="1">
      <w:start w:val="1"/>
      <w:numFmt w:val="bullet"/>
      <w:lvlText w:val="•"/>
      <w:lvlJc w:val="left"/>
      <w:pPr>
        <w:tabs>
          <w:tab w:val="num" w:pos="5040"/>
        </w:tabs>
        <w:ind w:left="5040" w:hanging="360"/>
      </w:pPr>
      <w:rPr>
        <w:rFonts w:ascii="Arial" w:hAnsi="Arial" w:hint="default"/>
      </w:rPr>
    </w:lvl>
    <w:lvl w:ilvl="7" w:tplc="1C0E948C" w:tentative="1">
      <w:start w:val="1"/>
      <w:numFmt w:val="bullet"/>
      <w:lvlText w:val="•"/>
      <w:lvlJc w:val="left"/>
      <w:pPr>
        <w:tabs>
          <w:tab w:val="num" w:pos="5760"/>
        </w:tabs>
        <w:ind w:left="5760" w:hanging="360"/>
      </w:pPr>
      <w:rPr>
        <w:rFonts w:ascii="Arial" w:hAnsi="Arial" w:hint="default"/>
      </w:rPr>
    </w:lvl>
    <w:lvl w:ilvl="8" w:tplc="46D0E7E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8C40D8"/>
    <w:multiLevelType w:val="hybridMultilevel"/>
    <w:tmpl w:val="0A269E2A"/>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12" w15:restartNumberingAfterBreak="0">
    <w:nsid w:val="50980DC9"/>
    <w:multiLevelType w:val="hybridMultilevel"/>
    <w:tmpl w:val="8E1C28E0"/>
    <w:lvl w:ilvl="0" w:tplc="B82863BC">
      <w:start w:val="1"/>
      <w:numFmt w:val="bullet"/>
      <w:lvlText w:val="—"/>
      <w:lvlJc w:val="left"/>
      <w:pPr>
        <w:tabs>
          <w:tab w:val="num" w:pos="1908"/>
        </w:tabs>
        <w:ind w:left="1908" w:hanging="1341"/>
      </w:pPr>
      <w:rPr>
        <w:rFonts w:ascii="Wingdings 2" w:hAnsi="Wingdings 2"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600156"/>
    <w:multiLevelType w:val="multilevel"/>
    <w:tmpl w:val="70C6D026"/>
    <w:name w:val="GHD_AlphaList"/>
    <w:lvl w:ilvl="0">
      <w:start w:val="1"/>
      <w:numFmt w:val="decimal"/>
      <w:pStyle w:val="AlphaList"/>
      <w:isLgl/>
      <w:suff w:val="nothing"/>
      <w:lvlText w:val=""/>
      <w:lvlJc w:val="left"/>
      <w:pPr>
        <w:ind w:left="0" w:firstLine="0"/>
      </w:pPr>
    </w:lvl>
    <w:lvl w:ilvl="1">
      <w:start w:val="1"/>
      <w:numFmt w:val="lowerLetter"/>
      <w:pStyle w:val="AlphaList"/>
      <w:lvlText w:val="%2."/>
      <w:lvlJc w:val="left"/>
      <w:pPr>
        <w:tabs>
          <w:tab w:val="num" w:pos="1134"/>
        </w:tabs>
        <w:ind w:left="1134" w:hanging="56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5D490D10"/>
    <w:multiLevelType w:val="multilevel"/>
    <w:tmpl w:val="5C884E70"/>
    <w:name w:val="GHD_NumberList"/>
    <w:lvl w:ilvl="0">
      <w:start w:val="1"/>
      <w:numFmt w:val="decimal"/>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63CC59F6"/>
    <w:multiLevelType w:val="hybridMultilevel"/>
    <w:tmpl w:val="090205E8"/>
    <w:lvl w:ilvl="0" w:tplc="FA1248E6">
      <w:start w:val="1"/>
      <w:numFmt w:val="bullet"/>
      <w:pStyle w:val="TableBullet"/>
      <w:lvlText w:val="—"/>
      <w:lvlJc w:val="left"/>
      <w:pPr>
        <w:tabs>
          <w:tab w:val="num" w:pos="360"/>
        </w:tabs>
        <w:ind w:left="360" w:hanging="360"/>
      </w:pPr>
      <w:rPr>
        <w:rFonts w:ascii="Wingdings 2" w:hAnsi="Wingdings 2"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8C4763"/>
    <w:multiLevelType w:val="hybridMultilevel"/>
    <w:tmpl w:val="AA0AE5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69A82534"/>
    <w:multiLevelType w:val="hybridMultilevel"/>
    <w:tmpl w:val="FCF4C4C0"/>
    <w:lvl w:ilvl="0" w:tplc="DCCACC04">
      <w:start w:val="1"/>
      <w:numFmt w:val="decimal"/>
      <w:pStyle w:val="BulletNumber"/>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3"/>
  </w:num>
  <w:num w:numId="3">
    <w:abstractNumId w:val="4"/>
  </w:num>
  <w:num w:numId="4">
    <w:abstractNumId w:val="7"/>
  </w:num>
  <w:num w:numId="5">
    <w:abstractNumId w:val="12"/>
  </w:num>
  <w:num w:numId="6">
    <w:abstractNumId w:val="17"/>
  </w:num>
  <w:num w:numId="7">
    <w:abstractNumId w:val="3"/>
  </w:num>
  <w:num w:numId="8">
    <w:abstractNumId w:val="5"/>
  </w:num>
  <w:num w:numId="9">
    <w:abstractNumId w:val="2"/>
  </w:num>
  <w:num w:numId="10">
    <w:abstractNumId w:val="2"/>
  </w:num>
  <w:num w:numId="11">
    <w:abstractNumId w:val="2"/>
  </w:num>
  <w:num w:numId="12">
    <w:abstractNumId w:val="15"/>
  </w:num>
  <w:num w:numId="13">
    <w:abstractNumId w:val="0"/>
  </w:num>
  <w:num w:numId="14">
    <w:abstractNumId w:val="1"/>
  </w:num>
  <w:num w:numId="15">
    <w:abstractNumId w:val="8"/>
  </w:num>
  <w:num w:numId="16">
    <w:abstractNumId w:val="11"/>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9"/>
  </w:num>
  <w:num w:numId="36">
    <w:abstractNumId w:val="6"/>
  </w:num>
  <w:num w:numId="37">
    <w:abstractNumId w:val="10"/>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BE2"/>
    <w:rsid w:val="000178CB"/>
    <w:rsid w:val="00050E5B"/>
    <w:rsid w:val="000647C4"/>
    <w:rsid w:val="00085313"/>
    <w:rsid w:val="0009093E"/>
    <w:rsid w:val="000C49D6"/>
    <w:rsid w:val="00186F8B"/>
    <w:rsid w:val="002370AE"/>
    <w:rsid w:val="00242BF2"/>
    <w:rsid w:val="00265058"/>
    <w:rsid w:val="002712BC"/>
    <w:rsid w:val="00341A43"/>
    <w:rsid w:val="003B7AC9"/>
    <w:rsid w:val="003C2566"/>
    <w:rsid w:val="004432AF"/>
    <w:rsid w:val="00467BEC"/>
    <w:rsid w:val="00474642"/>
    <w:rsid w:val="0049003F"/>
    <w:rsid w:val="00494AF3"/>
    <w:rsid w:val="004A6CF8"/>
    <w:rsid w:val="004C1587"/>
    <w:rsid w:val="00514920"/>
    <w:rsid w:val="00660F23"/>
    <w:rsid w:val="0068227D"/>
    <w:rsid w:val="006A4061"/>
    <w:rsid w:val="006E17AB"/>
    <w:rsid w:val="006F5470"/>
    <w:rsid w:val="00734F3B"/>
    <w:rsid w:val="007F59D3"/>
    <w:rsid w:val="00824526"/>
    <w:rsid w:val="00843761"/>
    <w:rsid w:val="008B5EA7"/>
    <w:rsid w:val="008B6BE2"/>
    <w:rsid w:val="00A41726"/>
    <w:rsid w:val="00A72337"/>
    <w:rsid w:val="00AB5599"/>
    <w:rsid w:val="00B14FC1"/>
    <w:rsid w:val="00B558C4"/>
    <w:rsid w:val="00B7651F"/>
    <w:rsid w:val="00BC35E4"/>
    <w:rsid w:val="00C07A66"/>
    <w:rsid w:val="00C60CB9"/>
    <w:rsid w:val="00C74987"/>
    <w:rsid w:val="00C97A26"/>
    <w:rsid w:val="00CD6434"/>
    <w:rsid w:val="00CE3AB1"/>
    <w:rsid w:val="00D24B80"/>
    <w:rsid w:val="00D47DC3"/>
    <w:rsid w:val="00D51FFE"/>
    <w:rsid w:val="00E03501"/>
    <w:rsid w:val="00E0753C"/>
    <w:rsid w:val="00E31E19"/>
    <w:rsid w:val="00E72EB6"/>
    <w:rsid w:val="00EB3C32"/>
    <w:rsid w:val="00FE0266"/>
    <w:rsid w:val="00FE75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C613F"/>
  <w15:chartTrackingRefBased/>
  <w15:docId w15:val="{57EC954F-1460-4E8B-A912-DA82681E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A43"/>
  </w:style>
  <w:style w:type="paragraph" w:styleId="Heading1">
    <w:name w:val="heading 1"/>
    <w:aliases w:val="h1"/>
    <w:basedOn w:val="Body"/>
    <w:next w:val="Body"/>
    <w:link w:val="Heading1Char"/>
    <w:qFormat/>
    <w:rsid w:val="004A6CF8"/>
    <w:pPr>
      <w:keepNext/>
      <w:keepLines/>
      <w:pageBreakBefore/>
      <w:numPr>
        <w:numId w:val="11"/>
      </w:numPr>
      <w:tabs>
        <w:tab w:val="left" w:pos="851"/>
      </w:tabs>
      <w:spacing w:before="0" w:after="480" w:line="240" w:lineRule="auto"/>
      <w:outlineLvl w:val="0"/>
    </w:pPr>
    <w:rPr>
      <w:bCs/>
      <w:kern w:val="32"/>
      <w:sz w:val="36"/>
      <w:szCs w:val="32"/>
    </w:rPr>
  </w:style>
  <w:style w:type="paragraph" w:styleId="Heading2">
    <w:name w:val="heading 2"/>
    <w:aliases w:val="h2"/>
    <w:basedOn w:val="Body"/>
    <w:next w:val="Body"/>
    <w:link w:val="Heading2Char"/>
    <w:qFormat/>
    <w:rsid w:val="004A6CF8"/>
    <w:pPr>
      <w:keepNext/>
      <w:keepLines/>
      <w:numPr>
        <w:ilvl w:val="1"/>
        <w:numId w:val="11"/>
      </w:numPr>
      <w:spacing w:before="380" w:after="80" w:line="240" w:lineRule="auto"/>
      <w:outlineLvl w:val="1"/>
    </w:pPr>
    <w:rPr>
      <w:b/>
      <w:bCs/>
      <w:iCs/>
      <w:sz w:val="23"/>
      <w:szCs w:val="28"/>
    </w:rPr>
  </w:style>
  <w:style w:type="paragraph" w:styleId="Heading3">
    <w:name w:val="heading 3"/>
    <w:aliases w:val="h3"/>
    <w:basedOn w:val="Body"/>
    <w:next w:val="Body"/>
    <w:link w:val="Heading3Char"/>
    <w:qFormat/>
    <w:rsid w:val="004A6CF8"/>
    <w:pPr>
      <w:keepNext/>
      <w:numPr>
        <w:ilvl w:val="2"/>
        <w:numId w:val="11"/>
      </w:numPr>
      <w:spacing w:before="380" w:after="80" w:line="240" w:lineRule="auto"/>
      <w:outlineLvl w:val="2"/>
    </w:pPr>
    <w:rPr>
      <w:rFonts w:ascii="Arial Bold" w:hAnsi="Arial Bold"/>
      <w:b/>
      <w:bCs/>
      <w:szCs w:val="26"/>
    </w:rPr>
  </w:style>
  <w:style w:type="paragraph" w:styleId="Heading4">
    <w:name w:val="heading 4"/>
    <w:basedOn w:val="Normal"/>
    <w:next w:val="Normal"/>
    <w:link w:val="Heading4Char"/>
    <w:qFormat/>
    <w:rsid w:val="004A6CF8"/>
    <w:pPr>
      <w:keepNex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liases w:val="b,B,bu,b Char Char,b Char Char Char Char Char Char Char Char,bullet,b Char Char Char,b Char Char Char Char Char Char,Body Char1 Char1,body,Body1,Text,Block,First,Indent,Macro,Plain,B1,b3,bull...,Body Char Char,ba,A,b Char Ch...,b Char...,b4,bold"/>
    <w:link w:val="BodyChar"/>
    <w:qFormat/>
    <w:rsid w:val="004A6CF8"/>
    <w:pPr>
      <w:spacing w:before="60" w:after="120" w:line="280" w:lineRule="atLeast"/>
    </w:pPr>
    <w:rPr>
      <w:rFonts w:ascii="Arial" w:eastAsia="Times New Roman" w:hAnsi="Arial" w:cs="Times New Roman"/>
      <w:sz w:val="20"/>
      <w:szCs w:val="20"/>
    </w:rPr>
  </w:style>
  <w:style w:type="character" w:customStyle="1" w:styleId="BodyChar">
    <w:name w:val="Body Char"/>
    <w:aliases w:val="b Char,b Char2,B Char1,bullet Char,bu Char,b Char Char Char Char,b Char Char Char Char Char Char Char,b Char Char Char2,Body Char1 Char1 Char,B Char,Body Char1,b Char1,Text Char,Block Char,First Char,Indent Char,Macro Char,Plain Char,body Char"/>
    <w:link w:val="Body"/>
    <w:rsid w:val="00BC35E4"/>
    <w:rPr>
      <w:rFonts w:ascii="Arial" w:eastAsia="Times New Roman" w:hAnsi="Arial" w:cs="Times New Roman"/>
      <w:sz w:val="20"/>
      <w:szCs w:val="20"/>
    </w:rPr>
  </w:style>
  <w:style w:type="paragraph" w:customStyle="1" w:styleId="BulletNumber">
    <w:name w:val="Bullet Number"/>
    <w:aliases w:val="bn"/>
    <w:basedOn w:val="Body"/>
    <w:rsid w:val="004A6CF8"/>
    <w:pPr>
      <w:numPr>
        <w:numId w:val="6"/>
      </w:numPr>
      <w:tabs>
        <w:tab w:val="clear" w:pos="360"/>
        <w:tab w:val="left" w:pos="284"/>
      </w:tabs>
      <w:spacing w:before="0" w:after="100"/>
    </w:pPr>
  </w:style>
  <w:style w:type="paragraph" w:customStyle="1" w:styleId="AlphaList">
    <w:name w:val="Alpha_List"/>
    <w:basedOn w:val="BulletNumber"/>
    <w:rsid w:val="00BC35E4"/>
    <w:pPr>
      <w:numPr>
        <w:numId w:val="2"/>
      </w:numPr>
    </w:pPr>
  </w:style>
  <w:style w:type="paragraph" w:customStyle="1" w:styleId="Appendix">
    <w:name w:val="Appendix"/>
    <w:next w:val="Body"/>
    <w:rsid w:val="00BC35E4"/>
    <w:pPr>
      <w:numPr>
        <w:numId w:val="3"/>
      </w:numPr>
      <w:spacing w:before="240" w:after="240" w:line="240" w:lineRule="auto"/>
    </w:pPr>
    <w:rPr>
      <w:rFonts w:ascii="Arial" w:eastAsia="Times New Roman" w:hAnsi="Arial" w:cs="Arial"/>
      <w:bCs/>
      <w:kern w:val="32"/>
      <w:sz w:val="36"/>
      <w:szCs w:val="32"/>
    </w:rPr>
  </w:style>
  <w:style w:type="paragraph" w:customStyle="1" w:styleId="Appendix-Block">
    <w:name w:val="Appendix-Block"/>
    <w:next w:val="Appendix"/>
    <w:semiHidden/>
    <w:qFormat/>
    <w:rsid w:val="00BC35E4"/>
    <w:pPr>
      <w:spacing w:after="0" w:line="240" w:lineRule="auto"/>
    </w:pPr>
    <w:rPr>
      <w:rFonts w:ascii="Arial Black" w:eastAsia="Times New Roman" w:hAnsi="Arial Black" w:cs="Arial"/>
      <w:bCs/>
      <w:color w:val="FFFFFF"/>
      <w:kern w:val="32"/>
      <w:sz w:val="40"/>
      <w:szCs w:val="32"/>
      <w:lang w:val="en-US"/>
    </w:rPr>
  </w:style>
  <w:style w:type="paragraph" w:styleId="BalloonText">
    <w:name w:val="Balloon Text"/>
    <w:basedOn w:val="Normal"/>
    <w:link w:val="BalloonTextChar"/>
    <w:rsid w:val="004A6CF8"/>
    <w:rPr>
      <w:rFonts w:ascii="Tahoma" w:hAnsi="Tahoma" w:cs="Tahoma"/>
      <w:sz w:val="16"/>
      <w:szCs w:val="16"/>
    </w:rPr>
  </w:style>
  <w:style w:type="character" w:customStyle="1" w:styleId="BalloonTextChar">
    <w:name w:val="Balloon Text Char"/>
    <w:basedOn w:val="DefaultParagraphFont"/>
    <w:link w:val="BalloonText"/>
    <w:rsid w:val="004A6CF8"/>
    <w:rPr>
      <w:rFonts w:ascii="Tahoma" w:eastAsia="Times New Roman" w:hAnsi="Tahoma" w:cs="Tahoma"/>
      <w:b/>
      <w:color w:val="999999"/>
      <w:sz w:val="16"/>
      <w:szCs w:val="16"/>
    </w:rPr>
  </w:style>
  <w:style w:type="paragraph" w:customStyle="1" w:styleId="Body-Italic-Color">
    <w:name w:val="Body - Italic - Color"/>
    <w:basedOn w:val="Body"/>
    <w:rsid w:val="00BC35E4"/>
    <w:rPr>
      <w:i/>
      <w:color w:val="0065A4"/>
    </w:rPr>
  </w:style>
  <w:style w:type="paragraph" w:customStyle="1" w:styleId="Bold-ItalicHeading">
    <w:name w:val="Bold-Italic_Heading"/>
    <w:basedOn w:val="Body"/>
    <w:next w:val="Body"/>
    <w:rsid w:val="00BC35E4"/>
    <w:pPr>
      <w:keepNext/>
      <w:spacing w:before="200"/>
    </w:pPr>
    <w:rPr>
      <w:b/>
      <w:i/>
      <w:color w:val="0065A4"/>
    </w:rPr>
  </w:style>
  <w:style w:type="paragraph" w:customStyle="1" w:styleId="BoldHeading">
    <w:name w:val="Bold_Heading"/>
    <w:basedOn w:val="Bold-ItalicHeading"/>
    <w:next w:val="Body"/>
    <w:rsid w:val="00BC35E4"/>
    <w:rPr>
      <w:i w:val="0"/>
    </w:rPr>
  </w:style>
  <w:style w:type="paragraph" w:customStyle="1" w:styleId="Bullet2">
    <w:name w:val="Bullet2"/>
    <w:aliases w:val="b2"/>
    <w:basedOn w:val="Body"/>
    <w:rsid w:val="004A6CF8"/>
    <w:pPr>
      <w:numPr>
        <w:numId w:val="8"/>
      </w:numPr>
      <w:tabs>
        <w:tab w:val="clear" w:pos="644"/>
        <w:tab w:val="left" w:pos="567"/>
      </w:tabs>
      <w:spacing w:before="0" w:after="60"/>
    </w:pPr>
  </w:style>
  <w:style w:type="paragraph" w:customStyle="1" w:styleId="Bullet">
    <w:name w:val="Bullet"/>
    <w:aliases w:val="b1"/>
    <w:basedOn w:val="Body"/>
    <w:rsid w:val="004A6CF8"/>
    <w:pPr>
      <w:numPr>
        <w:numId w:val="7"/>
      </w:numPr>
      <w:spacing w:before="0" w:after="100"/>
    </w:pPr>
  </w:style>
  <w:style w:type="paragraph" w:styleId="Caption">
    <w:name w:val="caption"/>
    <w:basedOn w:val="Body"/>
    <w:next w:val="Body"/>
    <w:qFormat/>
    <w:rsid w:val="004A6CF8"/>
    <w:pPr>
      <w:keepNext/>
      <w:keepLines/>
      <w:tabs>
        <w:tab w:val="left" w:pos="1134"/>
      </w:tabs>
      <w:spacing w:before="240"/>
      <w:ind w:left="1134" w:hanging="1134"/>
    </w:pPr>
    <w:rPr>
      <w:rFonts w:cs="Arial"/>
      <w:b/>
      <w:bCs/>
    </w:rPr>
  </w:style>
  <w:style w:type="paragraph" w:customStyle="1" w:styleId="CaseStudy-Head">
    <w:name w:val="CaseStudy-Head"/>
    <w:next w:val="Normal"/>
    <w:semiHidden/>
    <w:rsid w:val="00BC35E4"/>
    <w:pPr>
      <w:keepNext/>
      <w:keepLines/>
      <w:spacing w:before="120" w:after="120" w:line="240" w:lineRule="auto"/>
      <w:ind w:left="289" w:hanging="289"/>
    </w:pPr>
    <w:rPr>
      <w:rFonts w:ascii="Arial" w:eastAsia="Times New Roman" w:hAnsi="Arial" w:cs="Times New Roman"/>
      <w:b/>
      <w:color w:val="FFFFFF"/>
      <w:sz w:val="32"/>
      <w:szCs w:val="24"/>
      <w:lang w:val="en-US"/>
    </w:rPr>
  </w:style>
  <w:style w:type="paragraph" w:customStyle="1" w:styleId="CaseStudy-Text">
    <w:name w:val="CaseStudy-Text"/>
    <w:basedOn w:val="Normal"/>
    <w:semiHidden/>
    <w:rsid w:val="00BC35E4"/>
    <w:pPr>
      <w:spacing w:after="40"/>
    </w:pPr>
    <w:rPr>
      <w:rFonts w:ascii="Arial" w:hAnsi="Arial"/>
      <w:color w:val="FFFFFF"/>
      <w:sz w:val="24"/>
      <w:szCs w:val="24"/>
    </w:rPr>
  </w:style>
  <w:style w:type="paragraph" w:customStyle="1" w:styleId="Cover-Client">
    <w:name w:val="Cover-Client"/>
    <w:next w:val="Normal"/>
    <w:rsid w:val="00BC35E4"/>
    <w:pPr>
      <w:spacing w:after="120" w:line="280" w:lineRule="atLeast"/>
      <w:jc w:val="right"/>
    </w:pPr>
    <w:rPr>
      <w:rFonts w:ascii="Arial Black" w:eastAsia="Times New Roman" w:hAnsi="Arial Black" w:cs="Times New Roman"/>
      <w:bCs/>
      <w:color w:val="0065A4"/>
      <w:sz w:val="40"/>
      <w:szCs w:val="20"/>
    </w:rPr>
  </w:style>
  <w:style w:type="paragraph" w:customStyle="1" w:styleId="CoverDate">
    <w:name w:val="CoverDate"/>
    <w:basedOn w:val="Normal"/>
    <w:rsid w:val="00BC35E4"/>
    <w:pPr>
      <w:framePr w:hSpace="181" w:wrap="around" w:vAnchor="page" w:hAnchor="page" w:xAlign="center" w:y="9141"/>
      <w:spacing w:after="40"/>
      <w:jc w:val="right"/>
    </w:pPr>
    <w:rPr>
      <w:rFonts w:ascii="Arial" w:hAnsi="Arial"/>
      <w:noProof/>
      <w:szCs w:val="24"/>
    </w:rPr>
  </w:style>
  <w:style w:type="table" w:customStyle="1" w:styleId="CoverTable">
    <w:name w:val="CoverTable"/>
    <w:basedOn w:val="TableNormal"/>
    <w:rsid w:val="00BC35E4"/>
    <w:pPr>
      <w:spacing w:after="0" w:line="240" w:lineRule="auto"/>
    </w:pPr>
    <w:rPr>
      <w:rFonts w:ascii="Arial" w:eastAsia="Times New Roman" w:hAnsi="Arial" w:cs="Times New Roman"/>
      <w:sz w:val="20"/>
      <w:szCs w:val="20"/>
      <w:lang w:eastAsia="en-AU"/>
    </w:rPr>
    <w:tblPr/>
    <w:tcPr>
      <w:shd w:val="clear" w:color="auto" w:fill="auto"/>
    </w:tcPr>
  </w:style>
  <w:style w:type="paragraph" w:customStyle="1" w:styleId="CV-Heading-Color">
    <w:name w:val="CV-Heading-Color"/>
    <w:basedOn w:val="Normal"/>
    <w:next w:val="Body"/>
    <w:link w:val="CV-Heading-ColorChar"/>
    <w:semiHidden/>
    <w:rsid w:val="00BC35E4"/>
    <w:pPr>
      <w:spacing w:before="60" w:after="60"/>
    </w:pPr>
    <w:rPr>
      <w:rFonts w:ascii="Arial" w:hAnsi="Arial"/>
      <w:b/>
      <w:sz w:val="24"/>
      <w:szCs w:val="24"/>
    </w:rPr>
  </w:style>
  <w:style w:type="character" w:customStyle="1" w:styleId="CV-Heading-ColorChar">
    <w:name w:val="CV-Heading-Color Char"/>
    <w:link w:val="CV-Heading-Color"/>
    <w:semiHidden/>
    <w:rsid w:val="00BC35E4"/>
    <w:rPr>
      <w:rFonts w:ascii="Arial" w:eastAsia="Times New Roman" w:hAnsi="Arial" w:cs="Times New Roman"/>
      <w:b/>
      <w:sz w:val="24"/>
      <w:szCs w:val="24"/>
    </w:rPr>
  </w:style>
  <w:style w:type="paragraph" w:customStyle="1" w:styleId="CV-LineSpacer">
    <w:name w:val="CV-LineSpacer"/>
    <w:basedOn w:val="Normal"/>
    <w:semiHidden/>
    <w:rsid w:val="00BC35E4"/>
    <w:pPr>
      <w:pBdr>
        <w:top w:val="single" w:sz="8" w:space="1" w:color="auto"/>
      </w:pBdr>
      <w:spacing w:after="40"/>
    </w:pPr>
    <w:rPr>
      <w:rFonts w:ascii="Arial" w:hAnsi="Arial"/>
      <w:sz w:val="16"/>
      <w:szCs w:val="24"/>
    </w:rPr>
  </w:style>
  <w:style w:type="paragraph" w:customStyle="1" w:styleId="1stLine">
    <w:name w:val="1stLine"/>
    <w:basedOn w:val="Body"/>
    <w:next w:val="Body"/>
    <w:qFormat/>
    <w:rsid w:val="004A6CF8"/>
    <w:pPr>
      <w:spacing w:before="2040"/>
    </w:pPr>
  </w:style>
  <w:style w:type="paragraph" w:customStyle="1" w:styleId="Bold">
    <w:name w:val="Bold"/>
    <w:aliases w:val="bs"/>
    <w:basedOn w:val="Body"/>
    <w:next w:val="Body"/>
    <w:rsid w:val="004A6CF8"/>
    <w:pPr>
      <w:keepNext/>
      <w:keepLines/>
      <w:spacing w:before="240" w:after="60" w:line="240" w:lineRule="auto"/>
    </w:pPr>
    <w:rPr>
      <w:b/>
    </w:rPr>
  </w:style>
  <w:style w:type="paragraph" w:customStyle="1" w:styleId="BoldItalics">
    <w:name w:val="Bold/Italics"/>
    <w:aliases w:val="bi"/>
    <w:basedOn w:val="Body"/>
    <w:next w:val="Body"/>
    <w:rsid w:val="004A6CF8"/>
    <w:pPr>
      <w:keepNext/>
      <w:keepLines/>
      <w:spacing w:before="240" w:after="60" w:line="240" w:lineRule="auto"/>
    </w:pPr>
    <w:rPr>
      <w:b/>
      <w:i/>
    </w:rPr>
  </w:style>
  <w:style w:type="paragraph" w:customStyle="1" w:styleId="CaptionTable">
    <w:name w:val="Caption Table"/>
    <w:basedOn w:val="Caption"/>
    <w:next w:val="Body"/>
    <w:rsid w:val="004A6CF8"/>
    <w:pPr>
      <w:pBdr>
        <w:bottom w:val="single" w:sz="2" w:space="1" w:color="auto"/>
      </w:pBdr>
    </w:pPr>
  </w:style>
  <w:style w:type="paragraph" w:customStyle="1" w:styleId="Client">
    <w:name w:val="Client"/>
    <w:next w:val="Normal"/>
    <w:rsid w:val="004A6CF8"/>
    <w:pPr>
      <w:spacing w:before="360" w:after="360" w:line="280" w:lineRule="atLeast"/>
    </w:pPr>
    <w:rPr>
      <w:rFonts w:ascii="Arial" w:eastAsia="Times New Roman" w:hAnsi="Arial" w:cs="Times New Roman"/>
      <w:sz w:val="36"/>
      <w:szCs w:val="20"/>
    </w:rPr>
  </w:style>
  <w:style w:type="paragraph" w:customStyle="1" w:styleId="DocDate">
    <w:name w:val="Doc Date"/>
    <w:rsid w:val="004A6CF8"/>
    <w:pPr>
      <w:framePr w:w="2098" w:hSpace="181" w:vSpace="181" w:wrap="around" w:vAnchor="page" w:hAnchor="page" w:x="8790" w:y="14460"/>
      <w:shd w:val="solid" w:color="FFFFFF" w:fill="auto"/>
      <w:spacing w:before="100" w:after="100" w:line="240" w:lineRule="auto"/>
    </w:pPr>
    <w:rPr>
      <w:rFonts w:ascii="Arial" w:eastAsia="Times New Roman" w:hAnsi="Arial" w:cs="Times New Roman"/>
      <w:szCs w:val="20"/>
    </w:rPr>
  </w:style>
  <w:style w:type="paragraph" w:customStyle="1" w:styleId="Filename">
    <w:name w:val="Filename"/>
    <w:rsid w:val="004A6CF8"/>
    <w:pPr>
      <w:framePr w:w="2200" w:h="386" w:hRule="exact" w:hSpace="181" w:vSpace="181" w:wrap="around" w:vAnchor="text" w:hAnchor="page" w:x="1669" w:y="-1"/>
      <w:spacing w:after="0" w:line="240" w:lineRule="auto"/>
    </w:pPr>
    <w:rPr>
      <w:rFonts w:ascii="Arial" w:eastAsia="Times New Roman" w:hAnsi="Arial" w:cs="Times New Roman"/>
      <w:sz w:val="14"/>
      <w:szCs w:val="20"/>
    </w:rPr>
  </w:style>
  <w:style w:type="paragraph" w:styleId="Footer">
    <w:name w:val="footer"/>
    <w:basedOn w:val="Body"/>
    <w:link w:val="FooterChar"/>
    <w:uiPriority w:val="99"/>
    <w:rsid w:val="004A6CF8"/>
    <w:pPr>
      <w:spacing w:before="0" w:after="0" w:line="240" w:lineRule="auto"/>
      <w:jc w:val="right"/>
    </w:pPr>
    <w:rPr>
      <w:sz w:val="17"/>
      <w:szCs w:val="24"/>
    </w:rPr>
  </w:style>
  <w:style w:type="character" w:customStyle="1" w:styleId="FooterChar">
    <w:name w:val="Footer Char"/>
    <w:basedOn w:val="DefaultParagraphFont"/>
    <w:link w:val="Footer"/>
    <w:uiPriority w:val="99"/>
    <w:rsid w:val="004A6CF8"/>
    <w:rPr>
      <w:rFonts w:ascii="Arial" w:eastAsia="Times New Roman" w:hAnsi="Arial" w:cs="Times New Roman"/>
      <w:sz w:val="17"/>
      <w:szCs w:val="24"/>
    </w:rPr>
  </w:style>
  <w:style w:type="paragraph" w:customStyle="1" w:styleId="FooterProjSub">
    <w:name w:val="Footer Proj/Sub"/>
    <w:basedOn w:val="Filename"/>
    <w:rsid w:val="004A6CF8"/>
    <w:pPr>
      <w:framePr w:w="7235" w:h="482" w:hRule="exact" w:wrap="around" w:x="3273" w:yAlign="inside" w:anchorLock="1"/>
    </w:pPr>
    <w:rPr>
      <w:bCs/>
      <w:noProof/>
    </w:rPr>
  </w:style>
  <w:style w:type="character" w:styleId="FootnoteReference">
    <w:name w:val="footnote reference"/>
    <w:semiHidden/>
    <w:rsid w:val="004A6CF8"/>
    <w:rPr>
      <w:color w:val="auto"/>
      <w:vertAlign w:val="superscript"/>
    </w:rPr>
  </w:style>
  <w:style w:type="paragraph" w:styleId="FootnoteText">
    <w:name w:val="footnote text"/>
    <w:basedOn w:val="Body"/>
    <w:link w:val="FootnoteTextChar"/>
    <w:semiHidden/>
    <w:rsid w:val="004A6CF8"/>
    <w:pPr>
      <w:spacing w:before="100" w:after="100" w:line="240" w:lineRule="auto"/>
      <w:ind w:left="142" w:hanging="142"/>
    </w:pPr>
    <w:rPr>
      <w:sz w:val="16"/>
    </w:rPr>
  </w:style>
  <w:style w:type="character" w:customStyle="1" w:styleId="FootnoteTextChar">
    <w:name w:val="Footnote Text Char"/>
    <w:basedOn w:val="DefaultParagraphFont"/>
    <w:link w:val="FootnoteText"/>
    <w:semiHidden/>
    <w:rsid w:val="004A6CF8"/>
    <w:rPr>
      <w:rFonts w:ascii="Arial" w:eastAsia="Times New Roman" w:hAnsi="Arial" w:cs="Times New Roman"/>
      <w:sz w:val="16"/>
      <w:szCs w:val="20"/>
    </w:rPr>
  </w:style>
  <w:style w:type="paragraph" w:styleId="Header">
    <w:name w:val="header"/>
    <w:basedOn w:val="Body"/>
    <w:link w:val="HeaderChar"/>
    <w:uiPriority w:val="99"/>
    <w:rsid w:val="004A6CF8"/>
    <w:pPr>
      <w:spacing w:before="0" w:after="0" w:line="240" w:lineRule="auto"/>
    </w:pPr>
    <w:rPr>
      <w:szCs w:val="24"/>
    </w:rPr>
  </w:style>
  <w:style w:type="character" w:customStyle="1" w:styleId="HeaderChar">
    <w:name w:val="Header Char"/>
    <w:basedOn w:val="DefaultParagraphFont"/>
    <w:link w:val="Header"/>
    <w:uiPriority w:val="99"/>
    <w:rsid w:val="004A6CF8"/>
    <w:rPr>
      <w:rFonts w:ascii="Arial" w:eastAsia="Times New Roman" w:hAnsi="Arial" w:cs="Times New Roman"/>
      <w:sz w:val="20"/>
      <w:szCs w:val="24"/>
    </w:rPr>
  </w:style>
  <w:style w:type="character" w:customStyle="1" w:styleId="Heading1Char">
    <w:name w:val="Heading 1 Char"/>
    <w:aliases w:val="h1 Char"/>
    <w:basedOn w:val="DefaultParagraphFont"/>
    <w:link w:val="Heading1"/>
    <w:rsid w:val="004A6CF8"/>
    <w:rPr>
      <w:rFonts w:ascii="Arial" w:eastAsia="Times New Roman" w:hAnsi="Arial" w:cs="Times New Roman"/>
      <w:bCs/>
      <w:kern w:val="32"/>
      <w:sz w:val="36"/>
      <w:szCs w:val="32"/>
    </w:rPr>
  </w:style>
  <w:style w:type="character" w:customStyle="1" w:styleId="Heading2Char">
    <w:name w:val="Heading 2 Char"/>
    <w:aliases w:val="h2 Char"/>
    <w:basedOn w:val="DefaultParagraphFont"/>
    <w:link w:val="Heading2"/>
    <w:rsid w:val="004A6CF8"/>
    <w:rPr>
      <w:rFonts w:ascii="Arial" w:eastAsia="Times New Roman" w:hAnsi="Arial" w:cs="Times New Roman"/>
      <w:b/>
      <w:bCs/>
      <w:iCs/>
      <w:sz w:val="23"/>
      <w:szCs w:val="28"/>
    </w:rPr>
  </w:style>
  <w:style w:type="character" w:customStyle="1" w:styleId="Heading3Char">
    <w:name w:val="Heading 3 Char"/>
    <w:aliases w:val="h3 Char"/>
    <w:basedOn w:val="DefaultParagraphFont"/>
    <w:link w:val="Heading3"/>
    <w:rsid w:val="004A6CF8"/>
    <w:rPr>
      <w:rFonts w:ascii="Arial Bold" w:eastAsia="Times New Roman" w:hAnsi="Arial Bold" w:cs="Times New Roman"/>
      <w:b/>
      <w:bCs/>
      <w:sz w:val="20"/>
      <w:szCs w:val="26"/>
    </w:rPr>
  </w:style>
  <w:style w:type="character" w:customStyle="1" w:styleId="Heading4Char">
    <w:name w:val="Heading 4 Char"/>
    <w:basedOn w:val="DefaultParagraphFont"/>
    <w:link w:val="Heading4"/>
    <w:rsid w:val="004A6CF8"/>
    <w:rPr>
      <w:rFonts w:ascii="Times New Roman" w:eastAsia="Times New Roman" w:hAnsi="Times New Roman" w:cs="Times New Roman"/>
      <w:b/>
      <w:color w:val="999999"/>
      <w:sz w:val="20"/>
      <w:szCs w:val="20"/>
    </w:rPr>
  </w:style>
  <w:style w:type="paragraph" w:customStyle="1" w:styleId="Logo">
    <w:name w:val="Logo"/>
    <w:rsid w:val="004A6CF8"/>
    <w:pPr>
      <w:framePr w:hSpace="181" w:vSpace="181" w:wrap="around" w:vAnchor="page" w:hAnchor="page" w:x="1702" w:y="823"/>
      <w:spacing w:after="0" w:line="240" w:lineRule="auto"/>
    </w:pPr>
    <w:rPr>
      <w:rFonts w:ascii="Arial" w:eastAsia="Times New Roman" w:hAnsi="Arial" w:cs="Times New Roman"/>
      <w:noProof/>
      <w:sz w:val="16"/>
      <w:szCs w:val="20"/>
      <w:lang w:val="en-US"/>
    </w:rPr>
  </w:style>
  <w:style w:type="character" w:styleId="PageNumber">
    <w:name w:val="page number"/>
    <w:rsid w:val="004A6CF8"/>
    <w:rPr>
      <w:rFonts w:ascii="Arial" w:hAnsi="Arial"/>
      <w:noProof/>
      <w:sz w:val="17"/>
      <w:lang w:val="en-AU"/>
    </w:rPr>
  </w:style>
  <w:style w:type="paragraph" w:customStyle="1" w:styleId="Project">
    <w:name w:val="Project"/>
    <w:aliases w:val="p"/>
    <w:next w:val="Normal"/>
    <w:rsid w:val="004A6CF8"/>
    <w:pPr>
      <w:spacing w:after="0" w:line="440" w:lineRule="exact"/>
    </w:pPr>
    <w:rPr>
      <w:rFonts w:ascii="Arial" w:eastAsia="Times New Roman" w:hAnsi="Arial" w:cs="Times New Roman"/>
      <w:b/>
      <w:bCs/>
      <w:sz w:val="36"/>
      <w:szCs w:val="20"/>
    </w:rPr>
  </w:style>
  <w:style w:type="paragraph" w:customStyle="1" w:styleId="TableBody">
    <w:name w:val="Table Body"/>
    <w:aliases w:val="tb"/>
    <w:basedOn w:val="Body"/>
    <w:rsid w:val="004A6CF8"/>
    <w:pPr>
      <w:spacing w:before="120" w:after="60" w:line="240" w:lineRule="auto"/>
    </w:pPr>
  </w:style>
  <w:style w:type="paragraph" w:customStyle="1" w:styleId="TableBullet">
    <w:name w:val="Table Bullet"/>
    <w:aliases w:val="tbu"/>
    <w:basedOn w:val="Bullet"/>
    <w:rsid w:val="004A6CF8"/>
    <w:pPr>
      <w:numPr>
        <w:numId w:val="12"/>
      </w:numPr>
      <w:tabs>
        <w:tab w:val="left" w:pos="284"/>
      </w:tabs>
      <w:spacing w:before="120" w:after="60" w:line="240" w:lineRule="auto"/>
    </w:pPr>
  </w:style>
  <w:style w:type="paragraph" w:customStyle="1" w:styleId="TableHead">
    <w:name w:val="Table Head"/>
    <w:aliases w:val="th"/>
    <w:basedOn w:val="Body"/>
    <w:rsid w:val="004A6CF8"/>
    <w:pPr>
      <w:keepNext/>
      <w:keepLines/>
      <w:spacing w:before="120" w:after="60" w:line="240" w:lineRule="auto"/>
    </w:pPr>
    <w:rPr>
      <w:b/>
      <w:bCs/>
    </w:rPr>
  </w:style>
  <w:style w:type="table" w:styleId="TableGrid">
    <w:name w:val="Table Grid"/>
    <w:basedOn w:val="TableNormal"/>
    <w:uiPriority w:val="39"/>
    <w:rsid w:val="00341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CD6434"/>
    <w:rPr>
      <w:sz w:val="16"/>
      <w:szCs w:val="16"/>
    </w:rPr>
  </w:style>
  <w:style w:type="paragraph" w:styleId="CommentText">
    <w:name w:val="annotation text"/>
    <w:basedOn w:val="Normal"/>
    <w:link w:val="CommentTextChar"/>
    <w:semiHidden/>
    <w:unhideWhenUsed/>
    <w:rsid w:val="00CD6434"/>
    <w:pPr>
      <w:spacing w:line="240" w:lineRule="auto"/>
    </w:pPr>
    <w:rPr>
      <w:sz w:val="20"/>
      <w:szCs w:val="20"/>
    </w:rPr>
  </w:style>
  <w:style w:type="character" w:customStyle="1" w:styleId="CommentTextChar">
    <w:name w:val="Comment Text Char"/>
    <w:basedOn w:val="DefaultParagraphFont"/>
    <w:link w:val="CommentText"/>
    <w:semiHidden/>
    <w:rsid w:val="00CD6434"/>
    <w:rPr>
      <w:sz w:val="20"/>
      <w:szCs w:val="20"/>
    </w:rPr>
  </w:style>
  <w:style w:type="paragraph" w:styleId="CommentSubject">
    <w:name w:val="annotation subject"/>
    <w:basedOn w:val="CommentText"/>
    <w:next w:val="CommentText"/>
    <w:link w:val="CommentSubjectChar"/>
    <w:uiPriority w:val="99"/>
    <w:semiHidden/>
    <w:unhideWhenUsed/>
    <w:rsid w:val="00CD6434"/>
    <w:rPr>
      <w:b/>
      <w:bCs/>
    </w:rPr>
  </w:style>
  <w:style w:type="character" w:customStyle="1" w:styleId="CommentSubjectChar">
    <w:name w:val="Comment Subject Char"/>
    <w:basedOn w:val="CommentTextChar"/>
    <w:link w:val="CommentSubject"/>
    <w:uiPriority w:val="99"/>
    <w:semiHidden/>
    <w:rsid w:val="00CD6434"/>
    <w:rPr>
      <w:b/>
      <w:bCs/>
      <w:sz w:val="20"/>
      <w:szCs w:val="20"/>
    </w:rPr>
  </w:style>
  <w:style w:type="paragraph" w:styleId="Revision">
    <w:name w:val="Revision"/>
    <w:hidden/>
    <w:uiPriority w:val="99"/>
    <w:semiHidden/>
    <w:rsid w:val="006A4061"/>
    <w:pPr>
      <w:spacing w:after="0" w:line="240" w:lineRule="auto"/>
    </w:pPr>
  </w:style>
  <w:style w:type="paragraph" w:customStyle="1" w:styleId="Default">
    <w:name w:val="Default"/>
    <w:rsid w:val="006A406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165308">
      <w:bodyDiv w:val="1"/>
      <w:marLeft w:val="0"/>
      <w:marRight w:val="0"/>
      <w:marTop w:val="0"/>
      <w:marBottom w:val="0"/>
      <w:divBdr>
        <w:top w:val="none" w:sz="0" w:space="0" w:color="auto"/>
        <w:left w:val="none" w:sz="0" w:space="0" w:color="auto"/>
        <w:bottom w:val="none" w:sz="0" w:space="0" w:color="auto"/>
        <w:right w:val="none" w:sz="0" w:space="0" w:color="auto"/>
      </w:divBdr>
    </w:div>
    <w:div w:id="695882961">
      <w:bodyDiv w:val="1"/>
      <w:marLeft w:val="0"/>
      <w:marRight w:val="0"/>
      <w:marTop w:val="0"/>
      <w:marBottom w:val="0"/>
      <w:divBdr>
        <w:top w:val="none" w:sz="0" w:space="0" w:color="auto"/>
        <w:left w:val="none" w:sz="0" w:space="0" w:color="auto"/>
        <w:bottom w:val="none" w:sz="0" w:space="0" w:color="auto"/>
        <w:right w:val="none" w:sz="0" w:space="0" w:color="auto"/>
      </w:divBdr>
    </w:div>
    <w:div w:id="732705205">
      <w:bodyDiv w:val="1"/>
      <w:marLeft w:val="0"/>
      <w:marRight w:val="0"/>
      <w:marTop w:val="0"/>
      <w:marBottom w:val="0"/>
      <w:divBdr>
        <w:top w:val="none" w:sz="0" w:space="0" w:color="auto"/>
        <w:left w:val="none" w:sz="0" w:space="0" w:color="auto"/>
        <w:bottom w:val="none" w:sz="0" w:space="0" w:color="auto"/>
        <w:right w:val="none" w:sz="0" w:space="0" w:color="auto"/>
      </w:divBdr>
    </w:div>
    <w:div w:id="854534159">
      <w:bodyDiv w:val="1"/>
      <w:marLeft w:val="0"/>
      <w:marRight w:val="0"/>
      <w:marTop w:val="0"/>
      <w:marBottom w:val="0"/>
      <w:divBdr>
        <w:top w:val="none" w:sz="0" w:space="0" w:color="auto"/>
        <w:left w:val="none" w:sz="0" w:space="0" w:color="auto"/>
        <w:bottom w:val="none" w:sz="0" w:space="0" w:color="auto"/>
        <w:right w:val="none" w:sz="0" w:space="0" w:color="auto"/>
      </w:divBdr>
    </w:div>
    <w:div w:id="927346265">
      <w:bodyDiv w:val="1"/>
      <w:marLeft w:val="0"/>
      <w:marRight w:val="0"/>
      <w:marTop w:val="0"/>
      <w:marBottom w:val="0"/>
      <w:divBdr>
        <w:top w:val="none" w:sz="0" w:space="0" w:color="auto"/>
        <w:left w:val="none" w:sz="0" w:space="0" w:color="auto"/>
        <w:bottom w:val="none" w:sz="0" w:space="0" w:color="auto"/>
        <w:right w:val="none" w:sz="0" w:space="0" w:color="auto"/>
      </w:divBdr>
    </w:div>
    <w:div w:id="938104180">
      <w:bodyDiv w:val="1"/>
      <w:marLeft w:val="0"/>
      <w:marRight w:val="0"/>
      <w:marTop w:val="0"/>
      <w:marBottom w:val="0"/>
      <w:divBdr>
        <w:top w:val="none" w:sz="0" w:space="0" w:color="auto"/>
        <w:left w:val="none" w:sz="0" w:space="0" w:color="auto"/>
        <w:bottom w:val="none" w:sz="0" w:space="0" w:color="auto"/>
        <w:right w:val="none" w:sz="0" w:space="0" w:color="auto"/>
      </w:divBdr>
    </w:div>
    <w:div w:id="1050374956">
      <w:bodyDiv w:val="1"/>
      <w:marLeft w:val="0"/>
      <w:marRight w:val="0"/>
      <w:marTop w:val="0"/>
      <w:marBottom w:val="0"/>
      <w:divBdr>
        <w:top w:val="none" w:sz="0" w:space="0" w:color="auto"/>
        <w:left w:val="none" w:sz="0" w:space="0" w:color="auto"/>
        <w:bottom w:val="none" w:sz="0" w:space="0" w:color="auto"/>
        <w:right w:val="none" w:sz="0" w:space="0" w:color="auto"/>
      </w:divBdr>
    </w:div>
    <w:div w:id="1268345425">
      <w:bodyDiv w:val="1"/>
      <w:marLeft w:val="0"/>
      <w:marRight w:val="0"/>
      <w:marTop w:val="0"/>
      <w:marBottom w:val="0"/>
      <w:divBdr>
        <w:top w:val="none" w:sz="0" w:space="0" w:color="auto"/>
        <w:left w:val="none" w:sz="0" w:space="0" w:color="auto"/>
        <w:bottom w:val="none" w:sz="0" w:space="0" w:color="auto"/>
        <w:right w:val="none" w:sz="0" w:space="0" w:color="auto"/>
      </w:divBdr>
    </w:div>
    <w:div w:id="1379861326">
      <w:bodyDiv w:val="1"/>
      <w:marLeft w:val="0"/>
      <w:marRight w:val="0"/>
      <w:marTop w:val="0"/>
      <w:marBottom w:val="0"/>
      <w:divBdr>
        <w:top w:val="none" w:sz="0" w:space="0" w:color="auto"/>
        <w:left w:val="none" w:sz="0" w:space="0" w:color="auto"/>
        <w:bottom w:val="none" w:sz="0" w:space="0" w:color="auto"/>
        <w:right w:val="none" w:sz="0" w:space="0" w:color="auto"/>
      </w:divBdr>
    </w:div>
    <w:div w:id="1401632620">
      <w:bodyDiv w:val="1"/>
      <w:marLeft w:val="0"/>
      <w:marRight w:val="0"/>
      <w:marTop w:val="0"/>
      <w:marBottom w:val="0"/>
      <w:divBdr>
        <w:top w:val="none" w:sz="0" w:space="0" w:color="auto"/>
        <w:left w:val="none" w:sz="0" w:space="0" w:color="auto"/>
        <w:bottom w:val="none" w:sz="0" w:space="0" w:color="auto"/>
        <w:right w:val="none" w:sz="0" w:space="0" w:color="auto"/>
      </w:divBdr>
    </w:div>
    <w:div w:id="1462311672">
      <w:bodyDiv w:val="1"/>
      <w:marLeft w:val="0"/>
      <w:marRight w:val="0"/>
      <w:marTop w:val="0"/>
      <w:marBottom w:val="0"/>
      <w:divBdr>
        <w:top w:val="none" w:sz="0" w:space="0" w:color="auto"/>
        <w:left w:val="none" w:sz="0" w:space="0" w:color="auto"/>
        <w:bottom w:val="none" w:sz="0" w:space="0" w:color="auto"/>
        <w:right w:val="none" w:sz="0" w:space="0" w:color="auto"/>
      </w:divBdr>
    </w:div>
    <w:div w:id="1560899217">
      <w:bodyDiv w:val="1"/>
      <w:marLeft w:val="0"/>
      <w:marRight w:val="0"/>
      <w:marTop w:val="0"/>
      <w:marBottom w:val="0"/>
      <w:divBdr>
        <w:top w:val="none" w:sz="0" w:space="0" w:color="auto"/>
        <w:left w:val="none" w:sz="0" w:space="0" w:color="auto"/>
        <w:bottom w:val="none" w:sz="0" w:space="0" w:color="auto"/>
        <w:right w:val="none" w:sz="0" w:space="0" w:color="auto"/>
      </w:divBdr>
      <w:divsChild>
        <w:div w:id="1518810779">
          <w:marLeft w:val="562"/>
          <w:marRight w:val="14"/>
          <w:marTop w:val="120"/>
          <w:marBottom w:val="0"/>
          <w:divBdr>
            <w:top w:val="none" w:sz="0" w:space="0" w:color="auto"/>
            <w:left w:val="none" w:sz="0" w:space="0" w:color="auto"/>
            <w:bottom w:val="none" w:sz="0" w:space="0" w:color="auto"/>
            <w:right w:val="none" w:sz="0" w:space="0" w:color="auto"/>
          </w:divBdr>
        </w:div>
        <w:div w:id="1504932624">
          <w:marLeft w:val="562"/>
          <w:marRight w:val="14"/>
          <w:marTop w:val="120"/>
          <w:marBottom w:val="0"/>
          <w:divBdr>
            <w:top w:val="none" w:sz="0" w:space="0" w:color="auto"/>
            <w:left w:val="none" w:sz="0" w:space="0" w:color="auto"/>
            <w:bottom w:val="none" w:sz="0" w:space="0" w:color="auto"/>
            <w:right w:val="none" w:sz="0" w:space="0" w:color="auto"/>
          </w:divBdr>
        </w:div>
      </w:divsChild>
    </w:div>
    <w:div w:id="1576279036">
      <w:bodyDiv w:val="1"/>
      <w:marLeft w:val="0"/>
      <w:marRight w:val="0"/>
      <w:marTop w:val="0"/>
      <w:marBottom w:val="0"/>
      <w:divBdr>
        <w:top w:val="none" w:sz="0" w:space="0" w:color="auto"/>
        <w:left w:val="none" w:sz="0" w:space="0" w:color="auto"/>
        <w:bottom w:val="none" w:sz="0" w:space="0" w:color="auto"/>
        <w:right w:val="none" w:sz="0" w:space="0" w:color="auto"/>
      </w:divBdr>
      <w:divsChild>
        <w:div w:id="95172868">
          <w:marLeft w:val="432"/>
          <w:marRight w:val="14"/>
          <w:marTop w:val="120"/>
          <w:marBottom w:val="0"/>
          <w:divBdr>
            <w:top w:val="none" w:sz="0" w:space="0" w:color="auto"/>
            <w:left w:val="none" w:sz="0" w:space="0" w:color="auto"/>
            <w:bottom w:val="none" w:sz="0" w:space="0" w:color="auto"/>
            <w:right w:val="none" w:sz="0" w:space="0" w:color="auto"/>
          </w:divBdr>
        </w:div>
        <w:div w:id="181087454">
          <w:marLeft w:val="432"/>
          <w:marRight w:val="14"/>
          <w:marTop w:val="120"/>
          <w:marBottom w:val="0"/>
          <w:divBdr>
            <w:top w:val="none" w:sz="0" w:space="0" w:color="auto"/>
            <w:left w:val="none" w:sz="0" w:space="0" w:color="auto"/>
            <w:bottom w:val="none" w:sz="0" w:space="0" w:color="auto"/>
            <w:right w:val="none" w:sz="0" w:space="0" w:color="auto"/>
          </w:divBdr>
        </w:div>
      </w:divsChild>
    </w:div>
    <w:div w:id="1599211615">
      <w:bodyDiv w:val="1"/>
      <w:marLeft w:val="0"/>
      <w:marRight w:val="0"/>
      <w:marTop w:val="0"/>
      <w:marBottom w:val="0"/>
      <w:divBdr>
        <w:top w:val="none" w:sz="0" w:space="0" w:color="auto"/>
        <w:left w:val="none" w:sz="0" w:space="0" w:color="auto"/>
        <w:bottom w:val="none" w:sz="0" w:space="0" w:color="auto"/>
        <w:right w:val="none" w:sz="0" w:space="0" w:color="auto"/>
      </w:divBdr>
      <w:divsChild>
        <w:div w:id="252590325">
          <w:marLeft w:val="562"/>
          <w:marRight w:val="0"/>
          <w:marTop w:val="60"/>
          <w:marBottom w:val="0"/>
          <w:divBdr>
            <w:top w:val="none" w:sz="0" w:space="0" w:color="auto"/>
            <w:left w:val="none" w:sz="0" w:space="0" w:color="auto"/>
            <w:bottom w:val="none" w:sz="0" w:space="0" w:color="auto"/>
            <w:right w:val="none" w:sz="0" w:space="0" w:color="auto"/>
          </w:divBdr>
        </w:div>
        <w:div w:id="1277173732">
          <w:marLeft w:val="562"/>
          <w:marRight w:val="0"/>
          <w:marTop w:val="60"/>
          <w:marBottom w:val="0"/>
          <w:divBdr>
            <w:top w:val="none" w:sz="0" w:space="0" w:color="auto"/>
            <w:left w:val="none" w:sz="0" w:space="0" w:color="auto"/>
            <w:bottom w:val="none" w:sz="0" w:space="0" w:color="auto"/>
            <w:right w:val="none" w:sz="0" w:space="0" w:color="auto"/>
          </w:divBdr>
        </w:div>
        <w:div w:id="1365592451">
          <w:marLeft w:val="562"/>
          <w:marRight w:val="0"/>
          <w:marTop w:val="60"/>
          <w:marBottom w:val="0"/>
          <w:divBdr>
            <w:top w:val="none" w:sz="0" w:space="0" w:color="auto"/>
            <w:left w:val="none" w:sz="0" w:space="0" w:color="auto"/>
            <w:bottom w:val="none" w:sz="0" w:space="0" w:color="auto"/>
            <w:right w:val="none" w:sz="0" w:space="0" w:color="auto"/>
          </w:divBdr>
        </w:div>
        <w:div w:id="1688361401">
          <w:marLeft w:val="562"/>
          <w:marRight w:val="0"/>
          <w:marTop w:val="60"/>
          <w:marBottom w:val="0"/>
          <w:divBdr>
            <w:top w:val="none" w:sz="0" w:space="0" w:color="auto"/>
            <w:left w:val="none" w:sz="0" w:space="0" w:color="auto"/>
            <w:bottom w:val="none" w:sz="0" w:space="0" w:color="auto"/>
            <w:right w:val="none" w:sz="0" w:space="0" w:color="auto"/>
          </w:divBdr>
        </w:div>
        <w:div w:id="1299454256">
          <w:marLeft w:val="562"/>
          <w:marRight w:val="0"/>
          <w:marTop w:val="60"/>
          <w:marBottom w:val="0"/>
          <w:divBdr>
            <w:top w:val="none" w:sz="0" w:space="0" w:color="auto"/>
            <w:left w:val="none" w:sz="0" w:space="0" w:color="auto"/>
            <w:bottom w:val="none" w:sz="0" w:space="0" w:color="auto"/>
            <w:right w:val="none" w:sz="0" w:space="0" w:color="auto"/>
          </w:divBdr>
        </w:div>
        <w:div w:id="1244217575">
          <w:marLeft w:val="562"/>
          <w:marRight w:val="0"/>
          <w:marTop w:val="60"/>
          <w:marBottom w:val="0"/>
          <w:divBdr>
            <w:top w:val="none" w:sz="0" w:space="0" w:color="auto"/>
            <w:left w:val="none" w:sz="0" w:space="0" w:color="auto"/>
            <w:bottom w:val="none" w:sz="0" w:space="0" w:color="auto"/>
            <w:right w:val="none" w:sz="0" w:space="0" w:color="auto"/>
          </w:divBdr>
        </w:div>
        <w:div w:id="1272670332">
          <w:marLeft w:val="562"/>
          <w:marRight w:val="0"/>
          <w:marTop w:val="60"/>
          <w:marBottom w:val="0"/>
          <w:divBdr>
            <w:top w:val="none" w:sz="0" w:space="0" w:color="auto"/>
            <w:left w:val="none" w:sz="0" w:space="0" w:color="auto"/>
            <w:bottom w:val="none" w:sz="0" w:space="0" w:color="auto"/>
            <w:right w:val="none" w:sz="0" w:space="0" w:color="auto"/>
          </w:divBdr>
        </w:div>
        <w:div w:id="1097291614">
          <w:marLeft w:val="562"/>
          <w:marRight w:val="0"/>
          <w:marTop w:val="60"/>
          <w:marBottom w:val="0"/>
          <w:divBdr>
            <w:top w:val="none" w:sz="0" w:space="0" w:color="auto"/>
            <w:left w:val="none" w:sz="0" w:space="0" w:color="auto"/>
            <w:bottom w:val="none" w:sz="0" w:space="0" w:color="auto"/>
            <w:right w:val="none" w:sz="0" w:space="0" w:color="auto"/>
          </w:divBdr>
        </w:div>
      </w:divsChild>
    </w:div>
    <w:div w:id="207789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2A0"/>
    <w:rsid w:val="00487AED"/>
    <w:rsid w:val="009F42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74E19AB7B847A1815F9F61452D60BA">
    <w:name w:val="9E74E19AB7B847A1815F9F61452D60BA"/>
    <w:rsid w:val="009F42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iscellaneous" ma:contentTypeID="0x010100DF7DE8659D2E4069B707ECFA3CD7A8600054701FFDF6EC419FA11C2E6F659474740096815B9F1D1B474987A640FCCC53AC7D00775BA1E04BE01E4C88CD342673462856" ma:contentTypeVersion="54" ma:contentTypeDescription="A content type for creating miscellaneous documents" ma:contentTypeScope="" ma:versionID="68d70d8d6c9640853082470fde7c6336">
  <xsd:schema xmlns:xsd="http://www.w3.org/2001/XMLSchema" xmlns:xs="http://www.w3.org/2001/XMLSchema" xmlns:p="http://schemas.microsoft.com/office/2006/metadata/properties" xmlns:ns2="e2cdcddd-212d-4b5f-8f81-d9f3d2bcc8b4" targetNamespace="http://schemas.microsoft.com/office/2006/metadata/properties" ma:root="true" ma:fieldsID="a5102c4a69135a568f5f6a15c9f9e003" ns2:_="">
    <xsd:import namespace="e2cdcddd-212d-4b5f-8f81-d9f3d2bcc8b4"/>
    <xsd:element name="properties">
      <xsd:complexType>
        <xsd:sequence>
          <xsd:element name="documentManagement">
            <xsd:complexType>
              <xsd:all>
                <xsd:element ref="ns2:GHDSubject" minOccurs="0"/>
                <xsd:element ref="ns2:DocumentOwner" minOccurs="0"/>
                <xsd:element ref="ns2:ServiceGroup" minOccurs="0"/>
                <xsd:element ref="ns2:ServiceLine" minOccurs="0"/>
                <xsd:element ref="ns2:Client" minOccurs="0"/>
                <xsd:element ref="ns2:ProjectName" minOccurs="0"/>
                <xsd:element ref="ns2:OpportunityNumber" minOccurs="0"/>
                <xsd:element ref="ns2:ProposalNumber" minOccurs="0"/>
                <xsd:element ref="ns2:DeliveryNumber" minOccurs="0"/>
                <xsd:element ref="ns2:GHDProjectDocumentCategory" minOccurs="0"/>
                <xsd:element ref="ns2:GHDProjectDocumentType" minOccurs="0"/>
                <xsd:element ref="ns2:DLCPolicyLabelValue" minOccurs="0"/>
                <xsd:element ref="ns2:OperatingCentreNumber" minOccurs="0"/>
                <xsd:element ref="ns2:Market" minOccurs="0"/>
                <xsd:element ref="ns2:Subdiscipline" minOccurs="0"/>
                <xsd:element ref="ns2:MarketSubSector" minOccurs="0"/>
                <xsd:element ref="ns2:ServiceGroupCode" minOccurs="0"/>
                <xsd:element ref="ns2:_dlc_DocId" minOccurs="0"/>
                <xsd:element ref="ns2:_dlc_DocIdUrl" minOccurs="0"/>
                <xsd:element ref="ns2:_dlc_DocIdPersistId" minOccurs="0"/>
                <xsd:element ref="ns2:j50e3e2613b74262b37fea1aa274b670" minOccurs="0"/>
                <xsd:element ref="ns2:m3551dab83554b9ba25052931f7db87c" minOccurs="0"/>
                <xsd:element ref="ns2:nb7d366067e243d7b9cb9c8366db41c6" minOccurs="0"/>
                <xsd:element ref="ns2:o4cbc39bdab54bab82c5edea44c6ebe9" minOccurs="0"/>
                <xsd:element ref="ns2:b61bccce3caa4ede9231dabc37a516eb" minOccurs="0"/>
                <xsd:element ref="ns2:df4ef19112d74a6ea7510bfd204a59a6" minOccurs="0"/>
                <xsd:element ref="ns2:e6974c133175453496f9936f9a03a5a6" minOccurs="0"/>
                <xsd:element ref="ns2:TaxCatchAllLabel" minOccurs="0"/>
                <xsd:element ref="ns2:TaxKeywordTaxHTField" minOccurs="0"/>
                <xsd:element ref="ns2:TaxCatchAll" minOccurs="0"/>
                <xsd:element ref="ns2:de8d7342c5b5450c9b842a5dc64d425d" minOccurs="0"/>
                <xsd:element ref="ns2:GHDDiscip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cdcddd-212d-4b5f-8f81-d9f3d2bcc8b4" elementFormDefault="qualified">
    <xsd:import namespace="http://schemas.microsoft.com/office/2006/documentManagement/types"/>
    <xsd:import namespace="http://schemas.microsoft.com/office/infopath/2007/PartnerControls"/>
    <xsd:element name="GHDSubject" ma:index="2" nillable="true" ma:displayName="Free field 2" ma:internalName="GHDSubject" ma:readOnly="false">
      <xsd:simpleType>
        <xsd:restriction base="dms:Text"/>
      </xsd:simpleType>
    </xsd:element>
    <xsd:element name="DocumentOwner" ma:index="3" nillable="true" ma:displayName="Document Owner" ma:SearchPeopleOnly="false" ma:internalName="Document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rviceGroup" ma:index="7" nillable="true" ma:displayName="Service Group" ma:default="Victoria Planning , Approvals &amp; Urban Design" ma:internalName="ServiceGroup" ma:readOnly="false">
      <xsd:simpleType>
        <xsd:restriction base="dms:Text"/>
      </xsd:simpleType>
    </xsd:element>
    <xsd:element name="ServiceLine" ma:index="8" nillable="true" ma:displayName="Service Line" ma:default="Urban Planning &amp; Land Development" ma:internalName="ServiceLine" ma:readOnly="false">
      <xsd:simpleType>
        <xsd:restriction base="dms:Text"/>
      </xsd:simpleType>
    </xsd:element>
    <xsd:element name="Client" ma:index="9" nillable="true" ma:displayName="Client" ma:default="Mildura Rural City Council" ma:internalName="Client" ma:readOnly="false">
      <xsd:simpleType>
        <xsd:restriction base="dms:Text"/>
      </xsd:simpleType>
    </xsd:element>
    <xsd:element name="ProjectName" ma:index="10" nillable="true" ma:displayName="Project Name" ma:default="Hattah Structure Plan" ma:internalName="ProjectName" ma:readOnly="false">
      <xsd:simpleType>
        <xsd:restriction base="dms:Text"/>
      </xsd:simpleType>
    </xsd:element>
    <xsd:element name="OpportunityNumber" ma:index="11" nillable="true" ma:displayName="Opportunity Number" ma:default="" ma:internalName="OpportunityNumber" ma:readOnly="false">
      <xsd:simpleType>
        <xsd:restriction base="dms:Text"/>
      </xsd:simpleType>
    </xsd:element>
    <xsd:element name="ProposalNumber" ma:index="12" nillable="true" ma:displayName="Proposal Number" ma:default="12530479" ma:internalName="ProposalNumber" ma:readOnly="false">
      <xsd:simpleType>
        <xsd:restriction base="dms:Text"/>
      </xsd:simpleType>
    </xsd:element>
    <xsd:element name="DeliveryNumber" ma:index="13" nillable="true" ma:displayName="Delivery Number" ma:default="12530479" ma:internalName="DeliveryNumber" ma:readOnly="false">
      <xsd:simpleType>
        <xsd:restriction base="dms:Text"/>
      </xsd:simpleType>
    </xsd:element>
    <xsd:element name="GHDProjectDocumentCategory" ma:index="15" nillable="true" ma:displayName="Document Category" ma:default="" ma:format="Dropdown" ma:internalName="GHDProjectDocumentCategory" ma:readOnly="false">
      <xsd:simpleType>
        <xsd:restriction base="dms:Choice">
          <xsd:enumeration value=""/>
          <xsd:enumeration value="Client-supplied information"/>
          <xsd:enumeration value="Deliverable"/>
          <xsd:enumeration value="In Development"/>
          <xsd:enumeration value="Project Management"/>
          <xsd:enumeration value="Review Record"/>
          <xsd:enumeration value="Vendor / Subconsultant information"/>
          <xsd:enumeration value="Workings"/>
        </xsd:restriction>
      </xsd:simpleType>
    </xsd:element>
    <xsd:element name="GHDProjectDocumentType" ma:index="16" nillable="true" ma:displayName="Document Type" ma:default="" ma:format="Dropdown" ma:internalName="GHDProjectDocumentType" ma:readOnly="false">
      <xsd:simpleType>
        <xsd:restriction base="dms:Choice">
          <xsd:enumeration value=""/>
          <xsd:enumeration value="Agenda"/>
          <xsd:enumeration value="Analytical"/>
          <xsd:enumeration value="Appendix"/>
          <xsd:enumeration value="Billing / Invoicing"/>
          <xsd:enumeration value="Brief"/>
          <xsd:enumeration value="Calculation"/>
          <xsd:enumeration value="Construction Submittals"/>
          <xsd:enumeration value="Contract / Legal"/>
          <xsd:enumeration value="CV"/>
          <xsd:enumeration value="Drawing / Figure"/>
          <xsd:enumeration value="Estimate"/>
          <xsd:enumeration value="Field / Project Site notes"/>
          <xsd:enumeration value="File note"/>
          <xsd:enumeration value="Form"/>
          <xsd:enumeration value="Letter"/>
          <xsd:enumeration value="Memorandum"/>
          <xsd:enumeration value="Minutes"/>
          <xsd:enumeration value="Presentation"/>
          <xsd:enumeration value="Program / Schedule"/>
          <xsd:enumeration value="Proposal"/>
          <xsd:enumeration value="Purchase Order"/>
          <xsd:enumeration value="Register"/>
          <xsd:enumeration value="Report"/>
          <xsd:enumeration value="Request for Information"/>
          <xsd:enumeration value="Review / Check Pack"/>
          <xsd:enumeration value="Safety-related"/>
          <xsd:enumeration value="Specification"/>
          <xsd:enumeration value="Variation"/>
        </xsd:restriction>
      </xsd:simpleType>
    </xsd:element>
    <xsd:element name="DLCPolicyLabelValue" ma:index="21" nillable="true" ma:displayName="Label" ma:internalName="DLCPolicyLabelValue" ma:readOnly="false">
      <xsd:simpleType>
        <xsd:restriction base="dms:Note">
          <xsd:maxLength value="255"/>
        </xsd:restriction>
      </xsd:simpleType>
    </xsd:element>
    <xsd:element name="OperatingCentreNumber" ma:index="22" nillable="true" ma:displayName="Operating Centre Number" ma:default="31" ma:internalName="OperatingCentreNumber" ma:readOnly="false">
      <xsd:simpleType>
        <xsd:restriction base="dms:Text"/>
      </xsd:simpleType>
    </xsd:element>
    <xsd:element name="Market" ma:index="23" nillable="true" ma:displayName="Market" ma:default="Environment | Property &amp; Buildings" ma:internalName="Market" ma:readOnly="false">
      <xsd:simpleType>
        <xsd:restriction base="dms:Text"/>
      </xsd:simpleType>
    </xsd:element>
    <xsd:element name="Subdiscipline" ma:index="24" nillable="true" ma:displayName="Free field 1" ma:internalName="Subdiscipline" ma:readOnly="false">
      <xsd:simpleType>
        <xsd:restriction base="dms:Text"/>
      </xsd:simpleType>
    </xsd:element>
    <xsd:element name="MarketSubSector" ma:index="27" nillable="true" ma:displayName="Market Sub Sector" ma:internalName="MarketSubSector" ma:readOnly="false">
      <xsd:simpleType>
        <xsd:restriction base="dms:Text"/>
      </xsd:simpleType>
    </xsd:element>
    <xsd:element name="ServiceGroupCode" ma:index="28" nillable="true" ma:displayName="Service Group Code" ma:default="113110" ma:internalName="ServiceGroupCode" ma:readOnly="false">
      <xsd:simpleType>
        <xsd:restriction base="dms:Text"/>
      </xsd:simple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j50e3e2613b74262b37fea1aa274b670" ma:index="34" nillable="true" ma:taxonomy="true" ma:internalName="j50e3e2613b74262b37fea1aa274b670" ma:taxonomyFieldName="GHDCountry" ma:displayName="Country" ma:readOnly="false" ma:fieldId="{350e3e26-13b7-4262-b37f-ea1aa274b670}" ma:taxonomyMulti="true" ma:sspId="53e7a919-4f0a-4938-8814-3e8d216b717b" ma:termSetId="9e92e0d0-09f3-4db8-b409-0c363e29e4d7" ma:anchorId="9461eca6-4d93-4db2-a545-5c9fef9aabcc" ma:open="false" ma:isKeyword="false">
      <xsd:complexType>
        <xsd:sequence>
          <xsd:element ref="pc:Terms" minOccurs="0" maxOccurs="1"/>
        </xsd:sequence>
      </xsd:complexType>
    </xsd:element>
    <xsd:element name="m3551dab83554b9ba25052931f7db87c" ma:index="36" nillable="true" ma:taxonomy="true" ma:internalName="m3551dab83554b9ba25052931f7db87c" ma:taxonomyFieldName="ProjectDocumentCategory" ma:displayName="Document Category" ma:readOnly="false" ma:default="3;#(Not Categorised)|f4f9c753-b57a-44c0-a441-0f219a3b091b" ma:fieldId="{63551dab-8355-4b9b-a250-52931f7db87c}" ma:sspId="53e7a919-4f0a-4938-8814-3e8d216b717b" ma:termSetId="591f7810-df82-44d3-b143-089fecfe998b" ma:anchorId="1bb8654a-ca84-426b-8a0a-b0e1d6f9dae3" ma:open="false" ma:isKeyword="false">
      <xsd:complexType>
        <xsd:sequence>
          <xsd:element ref="pc:Terms" minOccurs="0" maxOccurs="1"/>
        </xsd:sequence>
      </xsd:complexType>
    </xsd:element>
    <xsd:element name="nb7d366067e243d7b9cb9c8366db41c6" ma:index="38" nillable="true" ma:taxonomy="true" ma:internalName="nb7d366067e243d7b9cb9c8366db41c6" ma:taxonomyFieldName="ProjectDocumentType" ma:displayName="Document Type" ma:readOnly="false" ma:fieldId="{7b7d3660-67e2-43d7-b9cb-9c8366db41c6}" ma:sspId="53e7a919-4f0a-4938-8814-3e8d216b717b" ma:termSetId="591f7810-df82-44d3-b143-089fecfe998b" ma:anchorId="624de915-3ee9-4d85-9e35-5cc5218065e3" ma:open="false" ma:isKeyword="false">
      <xsd:complexType>
        <xsd:sequence>
          <xsd:element ref="pc:Terms" minOccurs="0" maxOccurs="1"/>
        </xsd:sequence>
      </xsd:complexType>
    </xsd:element>
    <xsd:element name="o4cbc39bdab54bab82c5edea44c6ebe9" ma:index="39" nillable="true" ma:taxonomy="true" ma:internalName="o4cbc39bdab54bab82c5edea44c6ebe9" ma:taxonomyFieldName="GHDRegion" ma:displayName="Region" ma:readOnly="false" ma:default="3;#Australia|4b5dc0ee-7645-4358-b0c1-3ec636294e6b" ma:fieldId="{84cbc39b-dab5-4bab-82c5-edea44c6ebe9}" ma:taxonomyMulti="true" ma:sspId="53e7a919-4f0a-4938-8814-3e8d216b717b" ma:termSetId="9e92e0d0-09f3-4db8-b409-0c363e29e4d7" ma:anchorId="97ae399a-aaf0-4db8-bb01-e1c6e11e51d5" ma:open="false" ma:isKeyword="false">
      <xsd:complexType>
        <xsd:sequence>
          <xsd:element ref="pc:Terms" minOccurs="0" maxOccurs="1"/>
        </xsd:sequence>
      </xsd:complexType>
    </xsd:element>
    <xsd:element name="b61bccce3caa4ede9231dabc37a516eb" ma:index="41" nillable="true" ma:taxonomy="true" ma:internalName="b61bccce3caa4ede9231dabc37a516eb" ma:taxonomyFieldName="GHDOperatingCentre" ma:displayName="Operating Centre" ma:readOnly="false" ma:default="2;#Victoria|dac0b128-dd9a-4785-991b-62e5de2e885b" ma:fieldId="{b61bccce-3caa-4ede-9231-dabc37a516eb}" ma:taxonomyMulti="true" ma:sspId="53e7a919-4f0a-4938-8814-3e8d216b717b" ma:termSetId="9e92e0d0-09f3-4db8-b409-0c363e29e4d7" ma:anchorId="4456b394-13fb-4a91-ba48-4ed356ada668" ma:open="false" ma:isKeyword="false">
      <xsd:complexType>
        <xsd:sequence>
          <xsd:element ref="pc:Terms" minOccurs="0" maxOccurs="1"/>
        </xsd:sequence>
      </xsd:complexType>
    </xsd:element>
    <xsd:element name="df4ef19112d74a6ea7510bfd204a59a6" ma:index="42" nillable="true" ma:taxonomy="true" ma:internalName="df4ef19112d74a6ea7510bfd204a59a6" ma:taxonomyFieldName="Discipline" ma:displayName="Discipline" ma:readOnly="false" ma:fieldId="{df4ef191-12d7-4a6e-a751-0bfd204a59a6}" ma:taxonomyMulti="true" ma:sspId="53e7a919-4f0a-4938-8814-3e8d216b717b" ma:termSetId="9e92e0d0-09f3-4db8-b409-0c363e29e4d7" ma:anchorId="90079323-8951-441f-8b6f-7170f92db9f6" ma:open="false" ma:isKeyword="false">
      <xsd:complexType>
        <xsd:sequence>
          <xsd:element ref="pc:Terms" minOccurs="0" maxOccurs="1"/>
        </xsd:sequence>
      </xsd:complexType>
    </xsd:element>
    <xsd:element name="e6974c133175453496f9936f9a03a5a6" ma:index="44" nillable="true" ma:taxonomy="true" ma:internalName="e6974c133175453496f9936f9a03a5a6" ma:taxonomyFieldName="Classification" ma:displayName="Classification" ma:readOnly="false" ma:default="2;#Unclassified|5bcd1335-87be-43aa-9aa8-adc620b22826" ma:fieldId="{e6974c13-3175-4534-96f9-936f9a03a5a6}" ma:sspId="53e7a919-4f0a-4938-8814-3e8d216b717b" ma:termSetId="9e92e0d0-09f3-4db8-b409-0c363e29e4d7" ma:anchorId="3fbf9ba4-dfe3-43b5-9ed4-4014acdc3b99" ma:open="false" ma:isKeyword="false">
      <xsd:complexType>
        <xsd:sequence>
          <xsd:element ref="pc:Terms" minOccurs="0" maxOccurs="1"/>
        </xsd:sequence>
      </xsd:complexType>
    </xsd:element>
    <xsd:element name="TaxCatchAllLabel" ma:index="45" nillable="true" ma:displayName="Taxonomy Catch All Column1" ma:hidden="true" ma:list="{0174ab1e-2ea9-429c-913b-2d4c90386456}" ma:internalName="TaxCatchAllLabel" ma:readOnly="true" ma:showField="CatchAllDataLabel" ma:web="e2cdcddd-212d-4b5f-8f81-d9f3d2bcc8b4">
      <xsd:complexType>
        <xsd:complexContent>
          <xsd:extension base="dms:MultiChoiceLookup">
            <xsd:sequence>
              <xsd:element name="Value" type="dms:Lookup" maxOccurs="unbounded" minOccurs="0" nillable="true"/>
            </xsd:sequence>
          </xsd:extension>
        </xsd:complexContent>
      </xsd:complexType>
    </xsd:element>
    <xsd:element name="TaxKeywordTaxHTField" ma:index="46"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7" nillable="true" ma:displayName="Taxonomy Catch All Column" ma:hidden="true" ma:list="{0174ab1e-2ea9-429c-913b-2d4c90386456}" ma:internalName="TaxCatchAll" ma:showField="CatchAllData" ma:web="e2cdcddd-212d-4b5f-8f81-d9f3d2bcc8b4">
      <xsd:complexType>
        <xsd:complexContent>
          <xsd:extension base="dms:MultiChoiceLookup">
            <xsd:sequence>
              <xsd:element name="Value" type="dms:Lookup" maxOccurs="unbounded" minOccurs="0" nillable="true"/>
            </xsd:sequence>
          </xsd:extension>
        </xsd:complexContent>
      </xsd:complexType>
    </xsd:element>
    <xsd:element name="de8d7342c5b5450c9b842a5dc64d425d" ma:index="48" ma:taxonomy="true" ma:internalName="de8d7342c5b5450c9b842a5dc64d425d" ma:taxonomyFieldName="DocumentTransfer" ma:displayName="Document Transfer" ma:readOnly="false" ma:default="4;#(Not Categorised)|54c8a4fd-8769-4f61-8c90-9588a1422cbc" ma:fieldId="{de8d7342-c5b5-450c-9b84-2a5dc64d425d}" ma:sspId="53e7a919-4f0a-4938-8814-3e8d216b717b" ma:termSetId="591f7810-df82-44d3-b143-089fecfe998b" ma:anchorId="5cbd2b2b-6f09-45dc-8ebd-374299a76458" ma:open="false" ma:isKeyword="false">
      <xsd:complexType>
        <xsd:sequence>
          <xsd:element ref="pc:Terms" minOccurs="0" maxOccurs="1"/>
        </xsd:sequence>
      </xsd:complexType>
    </xsd:element>
    <xsd:element name="GHDDiscipline" ma:index="49" nillable="true" ma:displayName="Discipline" ma:default="" ma:format="Dropdown" ma:internalName="GHDDiscipline" ma:readOnly="false">
      <xsd:simpleType>
        <xsd:restriction base="dms:Choice">
          <xsd:enumeration value=""/>
          <xsd:enumeration value="Architectural"/>
          <xsd:enumeration value="Asset Management"/>
          <xsd:enumeration value="Building Services"/>
          <xsd:enumeration value="Chemical"/>
          <xsd:enumeration value="Civil"/>
          <xsd:enumeration value="Construction"/>
          <xsd:enumeration value="Contamination"/>
          <xsd:enumeration value="Electrical"/>
          <xsd:enumeration value="Environmental"/>
          <xsd:enumeration value="Geotechnical"/>
          <xsd:enumeration value="Hydrology / Hydraulics"/>
          <xsd:enumeration value="Marine"/>
          <xsd:enumeration value="Materials Technology"/>
          <xsd:enumeration value="Mechanical"/>
          <xsd:enumeration value="Planning"/>
          <xsd:enumeration value="Process"/>
          <xsd:enumeration value="Project Management"/>
          <xsd:enumeration value="Structural"/>
          <xsd:enumeration value="Telecommunications"/>
          <xsd:enumeration value="Transportation"/>
          <xsd:enumeration value="Waste Management"/>
          <xsd:enumeration value="Water / Wastewater"/>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3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e2cdcddd-212d-4b5f-8f81-d9f3d2bcc8b4">12530479-60318-25</_dlc_DocId>
    <_dlc_DocIdUrl xmlns="e2cdcddd-212d-4b5f-8f81-d9f3d2bcc8b4">
      <Url>https://projectsportal.ghd.com/sites/pp17_02/hattahstructureplan/_layouts/15/DocIdRedir.aspx?ID=12530479-60318-25</Url>
      <Description>12530479-60318-25</Description>
    </_dlc_DocIdUrl>
    <df4ef19112d74a6ea7510bfd204a59a6 xmlns="e2cdcddd-212d-4b5f-8f81-d9f3d2bcc8b4">
      <Terms xmlns="http://schemas.microsoft.com/office/infopath/2007/PartnerControls"/>
    </df4ef19112d74a6ea7510bfd204a59a6>
    <ServiceLine xmlns="e2cdcddd-212d-4b5f-8f81-d9f3d2bcc8b4">Urban Planning &amp; Land Development</ServiceLine>
    <TaxKeywordTaxHTField xmlns="e2cdcddd-212d-4b5f-8f81-d9f3d2bcc8b4">
      <Terms xmlns="http://schemas.microsoft.com/office/infopath/2007/PartnerControls"/>
    </TaxKeywordTaxHTField>
    <ServiceGroup xmlns="e2cdcddd-212d-4b5f-8f81-d9f3d2bcc8b4">Victoria Planning , Approvals &amp; Urban Design</ServiceGroup>
    <DeliveryNumber xmlns="e2cdcddd-212d-4b5f-8f81-d9f3d2bcc8b4">12530479</DeliveryNumber>
    <GHDSubject xmlns="e2cdcddd-212d-4b5f-8f81-d9f3d2bcc8b4">GHDSubject</GHDSubject>
    <DocumentOwner xmlns="e2cdcddd-212d-4b5f-8f81-d9f3d2bcc8b4">
      <UserInfo>
        <DisplayName>i:0#.w|ghdnet\jmooney</DisplayName>
        <AccountId>1113</AccountId>
        <AccountType/>
      </UserInfo>
    </DocumentOwner>
    <b61bccce3caa4ede9231dabc37a516eb xmlns="e2cdcddd-212d-4b5f-8f81-d9f3d2bcc8b4">
      <Terms xmlns="http://schemas.microsoft.com/office/infopath/2007/PartnerControls">
        <TermInfo xmlns="http://schemas.microsoft.com/office/infopath/2007/PartnerControls">
          <TermName xmlns="http://schemas.microsoft.com/office/infopath/2007/PartnerControls">Tasmania</TermName>
          <TermId xmlns="http://schemas.microsoft.com/office/infopath/2007/PartnerControls">2d5846de-271f-4cf5-843e-f74e775d7bc5</TermId>
        </TermInfo>
      </Terms>
    </b61bccce3caa4ede9231dabc37a516eb>
    <GHDProjectDocumentType xmlns="e2cdcddd-212d-4b5f-8f81-d9f3d2bcc8b4"></GHDProjectDocumentType>
    <o4cbc39bdab54bab82c5edea44c6ebe9 xmlns="e2cdcddd-212d-4b5f-8f81-d9f3d2bcc8b4">
      <Terms xmlns="http://schemas.microsoft.com/office/infopath/2007/PartnerControls">
        <TermInfo xmlns="http://schemas.microsoft.com/office/infopath/2007/PartnerControls">
          <TermName xmlns="http://schemas.microsoft.com/office/infopath/2007/PartnerControls">Australia</TermName>
          <TermId xmlns="http://schemas.microsoft.com/office/infopath/2007/PartnerControls">4b5dc0ee-7645-4358-b0c1-3ec636294e6b</TermId>
        </TermInfo>
      </Terms>
    </o4cbc39bdab54bab82c5edea44c6ebe9>
    <GHDDiscipline xmlns="e2cdcddd-212d-4b5f-8f81-d9f3d2bcc8b4"></GHDDiscipline>
    <ProjectName xmlns="e2cdcddd-212d-4b5f-8f81-d9f3d2bcc8b4">Hattah Structure Plan</ProjectName>
    <GHDProjectDocumentCategory xmlns="e2cdcddd-212d-4b5f-8f81-d9f3d2bcc8b4"></GHDProjectDocumentCategory>
    <TaxCatchAll xmlns="e2cdcddd-212d-4b5f-8f81-d9f3d2bcc8b4">
      <Value>8</Value>
      <Value>45</Value>
      <Value>3</Value>
      <Value>1</Value>
      <Value>7</Value>
    </TaxCatchAll>
    <OperatingCentreNumber xmlns="e2cdcddd-212d-4b5f-8f81-d9f3d2bcc8b4">31</OperatingCentreNumber>
    <OpportunityNumber xmlns="e2cdcddd-212d-4b5f-8f81-d9f3d2bcc8b4" xsi:nil="true"/>
    <nb7d366067e243d7b9cb9c8366db41c6 xmlns="e2cdcddd-212d-4b5f-8f81-d9f3d2bcc8b4">
      <Terms xmlns="http://schemas.microsoft.com/office/infopath/2007/PartnerControls"/>
    </nb7d366067e243d7b9cb9c8366db41c6>
    <de8d7342c5b5450c9b842a5dc64d425d xmlns="e2cdcddd-212d-4b5f-8f81-d9f3d2bcc8b4">
      <Terms xmlns="http://schemas.microsoft.com/office/infopath/2007/PartnerControls">
        <TermInfo xmlns="http://schemas.microsoft.com/office/infopath/2007/PartnerControls">
          <TermName xmlns="http://schemas.microsoft.com/office/infopath/2007/PartnerControls">(Not Categorised)</TermName>
          <TermId xmlns="http://schemas.microsoft.com/office/infopath/2007/PartnerControls">54c8a4fd-8769-4f61-8c90-9588a1422cbc</TermId>
        </TermInfo>
      </Terms>
    </de8d7342c5b5450c9b842a5dc64d425d>
    <ProposalNumber xmlns="e2cdcddd-212d-4b5f-8f81-d9f3d2bcc8b4">12530479</ProposalNumber>
    <Subdiscipline xmlns="e2cdcddd-212d-4b5f-8f81-d9f3d2bcc8b4" xsi:nil="true"/>
    <m3551dab83554b9ba25052931f7db87c xmlns="e2cdcddd-212d-4b5f-8f81-d9f3d2bcc8b4">
      <Terms xmlns="http://schemas.microsoft.com/office/infopath/2007/PartnerControls">
        <TermInfo xmlns="http://schemas.microsoft.com/office/infopath/2007/PartnerControls">
          <TermName xmlns="http://schemas.microsoft.com/office/infopath/2007/PartnerControls">(Not Categorised)</TermName>
          <TermId xmlns="http://schemas.microsoft.com/office/infopath/2007/PartnerControls">f4f9c753-b57a-44c0-a441-0f219a3b091b</TermId>
        </TermInfo>
      </Terms>
    </m3551dab83554b9ba25052931f7db87c>
    <MarketSubSector xmlns="e2cdcddd-212d-4b5f-8f81-d9f3d2bcc8b4" xsi:nil="true"/>
    <Market xmlns="e2cdcddd-212d-4b5f-8f81-d9f3d2bcc8b4">Environment | Property &amp; Buildings</Market>
    <DLCPolicyLabelValue xmlns="e2cdcddd-212d-4b5f-8f81-d9f3d2bcc8b4" xsi:nil="true"/>
    <e6974c133175453496f9936f9a03a5a6 xmlns="e2cdcddd-212d-4b5f-8f81-d9f3d2bcc8b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5bcd1335-87be-43aa-9aa8-adc620b22826</TermId>
        </TermInfo>
      </Terms>
    </e6974c133175453496f9936f9a03a5a6>
    <Client xmlns="e2cdcddd-212d-4b5f-8f81-d9f3d2bcc8b4">Mildura Rural City Council</Client>
    <j50e3e2613b74262b37fea1aa274b670 xmlns="e2cdcddd-212d-4b5f-8f81-d9f3d2bcc8b4">
      <Terms xmlns="http://schemas.microsoft.com/office/infopath/2007/PartnerControls"/>
    </j50e3e2613b74262b37fea1aa274b670>
    <ServiceGroupCode xmlns="e2cdcddd-212d-4b5f-8f81-d9f3d2bcc8b4">113209</ServiceGroupCod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0D2C7-FA7F-486E-A33F-B46DDFC3A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cdcddd-212d-4b5f-8f81-d9f3d2bcc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E9360C-6167-4608-A996-83B856422924}">
  <ds:schemaRefs>
    <ds:schemaRef ds:uri="http://schemas.microsoft.com/sharepoint/events"/>
  </ds:schemaRefs>
</ds:datastoreItem>
</file>

<file path=customXml/itemProps3.xml><?xml version="1.0" encoding="utf-8"?>
<ds:datastoreItem xmlns:ds="http://schemas.openxmlformats.org/officeDocument/2006/customXml" ds:itemID="{93B81DE1-29F0-4C7D-B14B-7FAC1B5713D2}">
  <ds:schemaRefs>
    <ds:schemaRef ds:uri="http://schemas.microsoft.com/sharepoint/v3/contenttype/forms"/>
  </ds:schemaRefs>
</ds:datastoreItem>
</file>

<file path=customXml/itemProps4.xml><?xml version="1.0" encoding="utf-8"?>
<ds:datastoreItem xmlns:ds="http://schemas.openxmlformats.org/officeDocument/2006/customXml" ds:itemID="{4D5CF019-A1C2-4B83-90ED-A014E8C4C781}">
  <ds:schemaRefs>
    <ds:schemaRef ds:uri="http://schemas.microsoft.com/office/2006/metadata/properties"/>
    <ds:schemaRef ds:uri="http://schemas.microsoft.com/office/infopath/2007/PartnerControls"/>
    <ds:schemaRef ds:uri="e2cdcddd-212d-4b5f-8f81-d9f3d2bcc8b4"/>
  </ds:schemaRefs>
</ds:datastoreItem>
</file>

<file path=customXml/itemProps5.xml><?xml version="1.0" encoding="utf-8"?>
<ds:datastoreItem xmlns:ds="http://schemas.openxmlformats.org/officeDocument/2006/customXml" ds:itemID="{A0988F49-66EC-4C7C-9446-9F3019358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882</Words>
  <Characters>5033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12530479-Hattah Land Use Plan - resident letter attachment FAQs.docx</vt:lpstr>
    </vt:vector>
  </TitlesOfParts>
  <Company>GHD Pty Ltd</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12530479-Hattah Land Use Plan - resident letter attachment FAQs.docx</dc:title>
  <dc:subject/>
  <dc:creator>Bridget Hickman</dc:creator>
  <cp:keywords/>
  <dc:description/>
  <cp:lastModifiedBy>Jacqueline Murnane</cp:lastModifiedBy>
  <cp:revision>2</cp:revision>
  <dcterms:created xsi:type="dcterms:W3CDTF">2020-10-20T21:10:00Z</dcterms:created>
  <dcterms:modified xsi:type="dcterms:W3CDTF">2020-10-20T21:10:00Z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Serenity House - 122 West Mooreville Road Burnie</vt:lpwstr>
  </property>
  <property fmtid="{D5CDD505-2E9C-101B-9397-08002B2CF9AE}" pid="3" name="GHDSubject">
    <vt:lpwstr/>
  </property>
  <property fmtid="{D5CDD505-2E9C-101B-9397-08002B2CF9AE}" pid="4" name="AuthorName">
    <vt:lpwstr>Bridget Hickman</vt:lpwstr>
  </property>
  <property fmtid="{D5CDD505-2E9C-101B-9397-08002B2CF9AE}" pid="5" name="JobNumber">
    <vt:lpwstr>12531958</vt:lpwstr>
  </property>
  <property fmtid="{D5CDD505-2E9C-101B-9397-08002B2CF9AE}" pid="6" name="DocNumber">
    <vt:lpwstr>DocNumber</vt:lpwstr>
  </property>
  <property fmtid="{D5CDD505-2E9C-101B-9397-08002B2CF9AE}" pid="7" name="WPCosting">
    <vt:filetime>2020-10-14T04:32:31Z</vt:filetime>
  </property>
  <property fmtid="{D5CDD505-2E9C-101B-9397-08002B2CF9AE}" pid="8" name="ContentTypeId">
    <vt:lpwstr>0x010100DF7DE8659D2E4069B707ECFA3CD7A8600054701FFDF6EC419FA11C2E6F659474740096815B9F1D1B474987A640FCCC53AC7D00775BA1E04BE01E4C88CD342673462856</vt:lpwstr>
  </property>
  <property fmtid="{D5CDD505-2E9C-101B-9397-08002B2CF9AE}" pid="9" name="_dlc_DocIdItemGuid">
    <vt:lpwstr>8678e554-fa28-4000-a291-e426182fc5ca</vt:lpwstr>
  </property>
  <property fmtid="{D5CDD505-2E9C-101B-9397-08002B2CF9AE}" pid="10" name="TaxKeyword">
    <vt:lpwstr/>
  </property>
  <property fmtid="{D5CDD505-2E9C-101B-9397-08002B2CF9AE}" pid="11" name="DocumentTransfer">
    <vt:lpwstr>8;#(Not Categorised)|54c8a4fd-8769-4f61-8c90-9588a1422cbc</vt:lpwstr>
  </property>
  <property fmtid="{D5CDD505-2E9C-101B-9397-08002B2CF9AE}" pid="12" name="GHDRegion">
    <vt:lpwstr>3;#Australia|4b5dc0ee-7645-4358-b0c1-3ec636294e6b</vt:lpwstr>
  </property>
  <property fmtid="{D5CDD505-2E9C-101B-9397-08002B2CF9AE}" pid="13" name="ProjectDocumentCategory">
    <vt:lpwstr>7;#(Not Categorised)|f4f9c753-b57a-44c0-a441-0f219a3b091b</vt:lpwstr>
  </property>
  <property fmtid="{D5CDD505-2E9C-101B-9397-08002B2CF9AE}" pid="14" name="GHDOperatingCentre">
    <vt:lpwstr>45;#Tasmania|2d5846de-271f-4cf5-843e-f74e775d7bc5</vt:lpwstr>
  </property>
  <property fmtid="{D5CDD505-2E9C-101B-9397-08002B2CF9AE}" pid="15" name="Classification">
    <vt:lpwstr>1;#Unclassified|5bcd1335-87be-43aa-9aa8-adc620b22826</vt:lpwstr>
  </property>
  <property fmtid="{D5CDD505-2E9C-101B-9397-08002B2CF9AE}" pid="16" name="ProjectDocumentType">
    <vt:lpwstr/>
  </property>
  <property fmtid="{D5CDD505-2E9C-101B-9397-08002B2CF9AE}" pid="17" name="GHDCountry">
    <vt:lpwstr/>
  </property>
  <property fmtid="{D5CDD505-2E9C-101B-9397-08002B2CF9AE}" pid="18" name="Discipline">
    <vt:lpwstr/>
  </property>
</Properties>
</file>